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17E8D" w:rsidRPr="00917E8D" w:rsidRDefault="00917E8D" w:rsidP="00917E8D">
            <w:pPr>
              <w:jc w:val="both"/>
              <w:rPr>
                <w:rFonts w:ascii="Arial" w:hAnsi="Arial"/>
                <w:b/>
                <w:bCs/>
                <w:noProof w:val="0"/>
              </w:rPr>
            </w:pPr>
            <w:r w:rsidRPr="00917E8D">
              <w:rPr>
                <w:rFonts w:ascii="Arial" w:hAnsi="Arial"/>
                <w:b/>
                <w:bCs/>
                <w:noProof w:val="0"/>
                <w:rtl/>
              </w:rPr>
              <w:t>כבוד השופטת שירי היימן,</w:t>
            </w:r>
          </w:p>
          <w:p w:rsidR="0094424E" w:rsidRPr="00917E8D" w:rsidRDefault="00917E8D" w:rsidP="00917E8D">
            <w:pPr>
              <w:jc w:val="both"/>
              <w:rPr>
                <w:rFonts w:ascii="Arial" w:hAnsi="Arial" w:cs="FrankRuehl"/>
                <w:sz w:val="28"/>
                <w:szCs w:val="28"/>
                <w:highlight w:val="yellow"/>
              </w:rPr>
            </w:pPr>
            <w:r w:rsidRPr="00917E8D">
              <w:rPr>
                <w:rFonts w:ascii="Arial" w:hAnsi="Arial"/>
                <w:b/>
                <w:bCs/>
                <w:noProof w:val="0"/>
                <w:rtl/>
              </w:rPr>
              <w:t>סגנית נשיאה לענייני משפחה-מחוז חיפה</w:t>
            </w: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82BE4" w:rsidRDefault="007F5273" w:rsidP="009B4B04">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47919" w:rsidP="000A53B2">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proofErr w:type="spellStart"/>
                <w:r w:rsidR="000A53B2">
                  <w:rPr>
                    <w:rFonts w:ascii="Arial" w:hAnsi="Arial" w:hint="cs"/>
                    <w:b/>
                    <w:bCs/>
                    <w:noProof w:val="0"/>
                    <w:sz w:val="26"/>
                    <w:szCs w:val="26"/>
                    <w:rtl/>
                  </w:rPr>
                  <w:t>ב.ק.מ</w:t>
                </w:r>
                <w:proofErr w:type="spellEnd"/>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Default="009B4B04" w:rsidP="00D44968">
            <w:pPr>
              <w:suppressLineNumbers/>
              <w:rPr>
                <w:rFonts w:ascii="Arial" w:hAnsi="Arial"/>
                <w:b/>
                <w:bCs/>
                <w:noProof w:val="0"/>
                <w:sz w:val="26"/>
                <w:szCs w:val="26"/>
                <w:rtl/>
              </w:rPr>
            </w:pPr>
            <w:r>
              <w:rPr>
                <w:rFonts w:ascii="Arial" w:hAnsi="Arial" w:hint="cs"/>
                <w:b/>
                <w:bCs/>
                <w:noProof w:val="0"/>
                <w:sz w:val="26"/>
                <w:szCs w:val="26"/>
                <w:rtl/>
              </w:rPr>
              <w:t xml:space="preserve">                                                         עוה"ד אריאל יום טוב</w:t>
            </w:r>
          </w:p>
          <w:p w:rsidR="009B4B04" w:rsidRDefault="009B4B04"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47919" w:rsidP="009B4B04">
            <w:pPr>
              <w:suppressLineNumbers/>
              <w:rPr>
                <w:rFonts w:ascii="Arial" w:hAnsi="Arial"/>
                <w:b/>
                <w:bCs/>
                <w:noProof w:val="0"/>
                <w:sz w:val="26"/>
                <w:szCs w:val="26"/>
              </w:rPr>
            </w:pPr>
            <w:sdt>
              <w:sdtPr>
                <w:rPr>
                  <w:rtl/>
                </w:rPr>
                <w:alias w:val="1184"/>
                <w:tag w:val="1184"/>
                <w:id w:val="-340621022"/>
                <w:text w:multiLine="1"/>
              </w:sdtPr>
              <w:sdtEndPr/>
              <w:sdtContent>
                <w:r w:rsidR="009B4B04">
                  <w:rPr>
                    <w:rFonts w:ascii="Arial" w:hAnsi="Arial"/>
                    <w:b/>
                    <w:bCs/>
                    <w:noProof w:val="0"/>
                    <w:sz w:val="26"/>
                    <w:szCs w:val="26"/>
                    <w:rtl/>
                  </w:rPr>
                  <w:t>משיב</w:t>
                </w:r>
                <w:r w:rsidR="009B4B04">
                  <w:rPr>
                    <w:rFonts w:ascii="Arial" w:hAnsi="Arial" w:hint="cs"/>
                    <w:b/>
                    <w:bCs/>
                    <w:noProof w:val="0"/>
                    <w:sz w:val="26"/>
                    <w:szCs w:val="26"/>
                    <w:rtl/>
                  </w:rPr>
                  <w:t>ה</w:t>
                </w:r>
              </w:sdtContent>
            </w:sdt>
          </w:p>
        </w:tc>
        <w:tc>
          <w:tcPr>
            <w:tcW w:w="5571" w:type="dxa"/>
          </w:tcPr>
          <w:p w:rsidR="0094424E" w:rsidRPr="00E54CD9" w:rsidRDefault="00147919" w:rsidP="000A53B2">
            <w:pPr>
              <w:suppressLineNumbers/>
              <w:rPr>
                <w:rFonts w:ascii="Arial" w:hAnsi="Arial"/>
                <w:b/>
                <w:bCs/>
                <w:noProof w:val="0"/>
                <w:sz w:val="26"/>
                <w:szCs w:val="26"/>
                <w:rtl/>
              </w:rPr>
            </w:pPr>
            <w:sdt>
              <w:sdtPr>
                <w:rPr>
                  <w:rtl/>
                </w:rPr>
                <w:alias w:val="1486"/>
                <w:tag w:val="1486"/>
                <w:id w:val="-309872140"/>
                <w:text w:multiLine="1"/>
              </w:sdtPr>
              <w:sdtEndPr/>
              <w:sdtContent>
                <w:proofErr w:type="spellStart"/>
                <w:r w:rsidR="000A53B2">
                  <w:rPr>
                    <w:rFonts w:ascii="Arial" w:hAnsi="Arial" w:hint="cs"/>
                    <w:b/>
                    <w:bCs/>
                    <w:noProof w:val="0"/>
                    <w:sz w:val="26"/>
                    <w:szCs w:val="26"/>
                    <w:rtl/>
                  </w:rPr>
                  <w:t>י.ש.מ</w:t>
                </w:r>
                <w:proofErr w:type="spellEnd"/>
              </w:sdtContent>
            </w:sdt>
            <w:r w:rsidR="00E54CD9">
              <w:rPr>
                <w:rFonts w:hint="cs"/>
                <w:rtl/>
              </w:rPr>
              <w:t xml:space="preserve"> </w:t>
            </w:r>
          </w:p>
          <w:p w:rsidR="00CF6BB7" w:rsidRDefault="009B4B04" w:rsidP="00D44968">
            <w:pPr>
              <w:suppressLineNumbers/>
              <w:rPr>
                <w:b/>
                <w:bCs/>
                <w:noProof w:val="0"/>
                <w:sz w:val="26"/>
                <w:szCs w:val="26"/>
                <w:rtl/>
              </w:rPr>
            </w:pPr>
            <w:r>
              <w:rPr>
                <w:rFonts w:hint="cs"/>
                <w:b/>
                <w:bCs/>
                <w:noProof w:val="0"/>
                <w:sz w:val="26"/>
                <w:szCs w:val="26"/>
                <w:rtl/>
              </w:rPr>
              <w:t xml:space="preserve">עוה"ד שלומית </w:t>
            </w:r>
            <w:proofErr w:type="spellStart"/>
            <w:r>
              <w:rPr>
                <w:rFonts w:hint="cs"/>
                <w:b/>
                <w:bCs/>
                <w:noProof w:val="0"/>
                <w:sz w:val="26"/>
                <w:szCs w:val="26"/>
                <w:rtl/>
              </w:rPr>
              <w:t>סטרוגנו</w:t>
            </w:r>
            <w:proofErr w:type="spellEnd"/>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9B4B04" w:rsidRDefault="009B4B04" w:rsidP="009B4B04">
      <w:pPr>
        <w:pStyle w:val="ad"/>
        <w:numPr>
          <w:ilvl w:val="0"/>
          <w:numId w:val="1"/>
        </w:numPr>
        <w:bidi/>
        <w:spacing w:line="360" w:lineRule="auto"/>
        <w:jc w:val="both"/>
        <w:rPr>
          <w:rFonts w:cs="David"/>
          <w:sz w:val="24"/>
          <w:szCs w:val="24"/>
        </w:rPr>
      </w:pPr>
      <w:bookmarkStart w:id="0" w:name="NGCSBookmark"/>
      <w:bookmarkEnd w:id="0"/>
      <w:r>
        <w:rPr>
          <w:rFonts w:cs="David"/>
          <w:sz w:val="24"/>
          <w:szCs w:val="24"/>
          <w:rtl/>
        </w:rPr>
        <w:t xml:space="preserve">בפני בקשת המערער לפטור מהפקדת ערובה ע"ס 3,000 ₪ בהתאם להוראת תקנה 135 (ב) לתקנות סדר הדין האזרחי </w:t>
      </w:r>
      <w:proofErr w:type="spellStart"/>
      <w:r>
        <w:rPr>
          <w:rFonts w:cs="David"/>
          <w:sz w:val="24"/>
          <w:szCs w:val="24"/>
          <w:rtl/>
        </w:rPr>
        <w:t>התשע"ט</w:t>
      </w:r>
      <w:proofErr w:type="spellEnd"/>
      <w:r>
        <w:rPr>
          <w:rFonts w:cs="David"/>
          <w:sz w:val="24"/>
          <w:szCs w:val="24"/>
          <w:rtl/>
        </w:rPr>
        <w:t xml:space="preserve"> – 2018, כפי שנקבע בהחלטתי מיום 12.09.24.</w:t>
      </w:r>
    </w:p>
    <w:p w:rsidR="003577DE" w:rsidRDefault="003577DE" w:rsidP="003577DE">
      <w:pPr>
        <w:pStyle w:val="ad"/>
        <w:bidi/>
        <w:spacing w:line="360" w:lineRule="auto"/>
        <w:jc w:val="both"/>
        <w:rPr>
          <w:rFonts w:cs="David"/>
          <w:sz w:val="24"/>
          <w:szCs w:val="24"/>
          <w:rtl/>
        </w:rPr>
      </w:pPr>
    </w:p>
    <w:p w:rsidR="009B4B04" w:rsidRDefault="009B4B04" w:rsidP="000A53B2">
      <w:pPr>
        <w:pStyle w:val="ad"/>
        <w:numPr>
          <w:ilvl w:val="0"/>
          <w:numId w:val="1"/>
        </w:numPr>
        <w:bidi/>
        <w:spacing w:line="360" w:lineRule="auto"/>
        <w:jc w:val="both"/>
        <w:rPr>
          <w:rFonts w:cs="David"/>
          <w:sz w:val="24"/>
          <w:szCs w:val="24"/>
        </w:rPr>
      </w:pPr>
      <w:r>
        <w:rPr>
          <w:rFonts w:cs="David"/>
          <w:sz w:val="24"/>
          <w:szCs w:val="24"/>
          <w:rtl/>
        </w:rPr>
        <w:t xml:space="preserve">הבקשה הוגשה במסגרת ערעור על החלטת כבוד רשמת ההוצאה לפועל מיום 16.07.24 ומיום 11.8.24 בתיק </w:t>
      </w:r>
      <w:r w:rsidR="000A53B2">
        <w:rPr>
          <w:rFonts w:cs="David" w:hint="cs"/>
          <w:sz w:val="24"/>
          <w:szCs w:val="24"/>
          <w:rtl/>
        </w:rPr>
        <w:t>*******</w:t>
      </w:r>
      <w:r>
        <w:rPr>
          <w:rFonts w:cs="David"/>
          <w:sz w:val="24"/>
          <w:szCs w:val="24"/>
          <w:rtl/>
        </w:rPr>
        <w:t xml:space="preserve">-08-22. הערעור הוגש ביום 04.09.24. </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הצדדים גרושים. מנישואים אלו נולדו 3 ילדים כולם קטינים.</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ביום 20.06.07 ניתן פסק דין המחייב את המערער בתשלום מזונות הקטינים ע"ס 4,650 ₪ החל מחודש 07/17.</w:t>
      </w:r>
    </w:p>
    <w:p w:rsidR="003577DE" w:rsidRDefault="003577DE" w:rsidP="003577DE">
      <w:pPr>
        <w:pStyle w:val="ad"/>
        <w:bidi/>
        <w:spacing w:line="360" w:lineRule="auto"/>
        <w:jc w:val="both"/>
        <w:rPr>
          <w:rFonts w:cs="David"/>
          <w:sz w:val="24"/>
          <w:szCs w:val="24"/>
        </w:rPr>
      </w:pPr>
    </w:p>
    <w:p w:rsidR="009B4B04" w:rsidRDefault="009B4B04" w:rsidP="000A53B2">
      <w:pPr>
        <w:pStyle w:val="ad"/>
        <w:numPr>
          <w:ilvl w:val="0"/>
          <w:numId w:val="1"/>
        </w:numPr>
        <w:bidi/>
        <w:spacing w:line="360" w:lineRule="auto"/>
        <w:jc w:val="both"/>
        <w:rPr>
          <w:rFonts w:cs="David"/>
          <w:sz w:val="24"/>
          <w:szCs w:val="24"/>
        </w:rPr>
      </w:pPr>
      <w:r>
        <w:rPr>
          <w:rFonts w:cs="David"/>
          <w:sz w:val="24"/>
          <w:szCs w:val="24"/>
          <w:rtl/>
        </w:rPr>
        <w:t>בפני בית הדין הרבני האזורי ב</w:t>
      </w:r>
      <w:r w:rsidR="000A53B2">
        <w:rPr>
          <w:rFonts w:cs="David" w:hint="cs"/>
          <w:sz w:val="24"/>
          <w:szCs w:val="24"/>
          <w:rtl/>
        </w:rPr>
        <w:t>******</w:t>
      </w:r>
      <w:r>
        <w:rPr>
          <w:rFonts w:cs="David"/>
          <w:sz w:val="24"/>
          <w:szCs w:val="24"/>
          <w:rtl/>
        </w:rPr>
        <w:t xml:space="preserve"> התנהל הליך שמספרו </w:t>
      </w:r>
      <w:r w:rsidR="000A53B2">
        <w:rPr>
          <w:rFonts w:cs="David" w:hint="cs"/>
          <w:sz w:val="24"/>
          <w:szCs w:val="24"/>
          <w:rtl/>
        </w:rPr>
        <w:t>*******</w:t>
      </w:r>
      <w:r>
        <w:rPr>
          <w:rFonts w:cs="David"/>
          <w:sz w:val="24"/>
          <w:szCs w:val="24"/>
          <w:rtl/>
        </w:rPr>
        <w:t>/5 בענייני הרכוש והכתובה בסיומו ניתן פס"ד ביום 26.04.17 המחייב את המערער בתשלום של 80,000 ₪ לידי המשיבה אשר ישולמו ב-64 תשלומים, כל תשלום 1,250 ₪ בתקופה שבין 01.06.17-01.09.22.</w:t>
      </w:r>
    </w:p>
    <w:p w:rsidR="003577DE" w:rsidRDefault="003577DE" w:rsidP="003577DE">
      <w:pPr>
        <w:pStyle w:val="ad"/>
        <w:bidi/>
        <w:spacing w:line="360" w:lineRule="auto"/>
        <w:jc w:val="both"/>
        <w:rPr>
          <w:rFonts w:cs="David"/>
          <w:sz w:val="24"/>
          <w:szCs w:val="24"/>
        </w:rPr>
      </w:pPr>
    </w:p>
    <w:p w:rsidR="009B4B04" w:rsidRDefault="009B4B04" w:rsidP="000A53B2">
      <w:pPr>
        <w:pStyle w:val="ad"/>
        <w:numPr>
          <w:ilvl w:val="0"/>
          <w:numId w:val="1"/>
        </w:numPr>
        <w:bidi/>
        <w:spacing w:line="360" w:lineRule="auto"/>
        <w:jc w:val="both"/>
        <w:rPr>
          <w:rFonts w:cs="David"/>
          <w:sz w:val="24"/>
          <w:szCs w:val="24"/>
        </w:rPr>
      </w:pPr>
      <w:r>
        <w:rPr>
          <w:rFonts w:cs="David"/>
          <w:sz w:val="24"/>
          <w:szCs w:val="24"/>
          <w:rtl/>
        </w:rPr>
        <w:t>ביום 24.07.23, ניתנה החלטה נוספת ע"י בית הדין הרבני האזורי ב</w:t>
      </w:r>
      <w:r w:rsidR="000A53B2">
        <w:rPr>
          <w:rFonts w:cs="David" w:hint="cs"/>
          <w:sz w:val="24"/>
          <w:szCs w:val="24"/>
          <w:rtl/>
        </w:rPr>
        <w:t>*******</w:t>
      </w:r>
      <w:r>
        <w:rPr>
          <w:rFonts w:cs="David"/>
          <w:sz w:val="24"/>
          <w:szCs w:val="24"/>
          <w:rtl/>
        </w:rPr>
        <w:t xml:space="preserve"> לפיה נפסק; </w:t>
      </w:r>
    </w:p>
    <w:p w:rsidR="009B4B04" w:rsidRDefault="009B4B04" w:rsidP="009B4B04">
      <w:pPr>
        <w:pStyle w:val="ad"/>
        <w:bidi/>
        <w:spacing w:line="360" w:lineRule="auto"/>
        <w:jc w:val="both"/>
        <w:rPr>
          <w:rFonts w:cs="David"/>
          <w:b/>
          <w:bCs/>
          <w:sz w:val="24"/>
          <w:szCs w:val="24"/>
        </w:rPr>
      </w:pPr>
      <w:r>
        <w:rPr>
          <w:rFonts w:cs="David"/>
          <w:b/>
          <w:bCs/>
          <w:sz w:val="24"/>
          <w:szCs w:val="24"/>
          <w:rtl/>
        </w:rPr>
        <w:t>ב. .......</w:t>
      </w:r>
    </w:p>
    <w:p w:rsidR="009B4B04" w:rsidRDefault="009B4B04" w:rsidP="009B4B04">
      <w:pPr>
        <w:pStyle w:val="ad"/>
        <w:bidi/>
        <w:spacing w:line="360" w:lineRule="auto"/>
        <w:jc w:val="both"/>
        <w:rPr>
          <w:rFonts w:cs="David"/>
          <w:b/>
          <w:bCs/>
          <w:sz w:val="24"/>
          <w:szCs w:val="24"/>
        </w:rPr>
      </w:pPr>
      <w:r>
        <w:rPr>
          <w:rFonts w:cs="David"/>
          <w:sz w:val="24"/>
          <w:szCs w:val="24"/>
          <w:rtl/>
        </w:rPr>
        <w:t>"</w:t>
      </w:r>
      <w:r>
        <w:rPr>
          <w:rFonts w:cs="David"/>
          <w:b/>
          <w:bCs/>
          <w:sz w:val="24"/>
          <w:szCs w:val="24"/>
          <w:rtl/>
        </w:rPr>
        <w:t>משכך לדעת בית הדין, האיש שילם את סך הכתובה במלואה על פי פסק הדין בסך של 80,000 ₪ והיתרה בסך של 105,340 ₪ שולמו בעניין המזונות (לדברי האיש שולמו יותר וירדו מחשבונו הפרטי בשנים 2017-2021).</w:t>
      </w:r>
    </w:p>
    <w:p w:rsidR="009B4B04" w:rsidRDefault="009B4B04" w:rsidP="009B4B04">
      <w:pPr>
        <w:pStyle w:val="ad"/>
        <w:bidi/>
        <w:spacing w:line="360" w:lineRule="auto"/>
        <w:jc w:val="both"/>
        <w:rPr>
          <w:rFonts w:cs="David"/>
          <w:b/>
          <w:bCs/>
          <w:sz w:val="24"/>
          <w:szCs w:val="24"/>
          <w:rtl/>
        </w:rPr>
      </w:pPr>
      <w:r>
        <w:rPr>
          <w:rFonts w:cs="David"/>
          <w:b/>
          <w:bCs/>
          <w:sz w:val="24"/>
          <w:szCs w:val="24"/>
          <w:rtl/>
        </w:rPr>
        <w:lastRenderedPageBreak/>
        <w:t>ג. מאחר ותיק המזונות אינו בסמכותו של בית הדין, אין לבית הדין סמכות לדון בעניין המזונות או לחוות דעה בעניין זה. על הצדדים לפנות לערכאה המוסמכת או  להגיע להבנות /או הסכמות ביניהם".</w:t>
      </w:r>
    </w:p>
    <w:p w:rsidR="003577DE" w:rsidRDefault="003577DE" w:rsidP="009B4B04">
      <w:pPr>
        <w:pStyle w:val="ad"/>
        <w:bidi/>
        <w:spacing w:line="360" w:lineRule="auto"/>
        <w:jc w:val="both"/>
        <w:rPr>
          <w:rFonts w:cs="David"/>
          <w:b/>
          <w:bCs/>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ביום 08.08.22, פתחה המשיבה תיק הוצאה לפועל כנגד המערער לגביית חוב מזונות לתקופה שבין 10.07.22-10.08.20 ע"ס של 88,400 ₪.</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ביום 04.06.24, הגישה המשיבה בקשה להגדלת חוב מזונות בלשכת ההוצאה לפועל ע"ס של 51,000 ₪ בגין חוב מזונות לשנים 2017-2020.</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ביום 16.07.24 ניתנה החלטת כבוד רשמת ההוצאה לפועל המורה על הגדלת חוב בסך 28,000 ₪ נכון ליום 24.07.23 להלן;</w:t>
      </w:r>
    </w:p>
    <w:p w:rsidR="009B4B04" w:rsidRDefault="009B4B04" w:rsidP="009B4B04">
      <w:pPr>
        <w:pStyle w:val="ad"/>
        <w:bidi/>
        <w:spacing w:line="360" w:lineRule="auto"/>
        <w:jc w:val="both"/>
        <w:rPr>
          <w:rFonts w:cs="David"/>
          <w:b/>
          <w:bCs/>
          <w:sz w:val="24"/>
          <w:szCs w:val="24"/>
        </w:rPr>
      </w:pPr>
      <w:r>
        <w:rPr>
          <w:rFonts w:cs="David"/>
          <w:b/>
          <w:bCs/>
          <w:sz w:val="24"/>
          <w:szCs w:val="24"/>
          <w:rtl/>
        </w:rPr>
        <w:t>"ממקרא החלטתו של כב' ביה"ד הרבני, שניתנה ביום 24.7.23, עולה באופן מפורש כי כב' ביה"ד ראה לזקוף סכומים ששולמו בתיק שבכותרת, שנפתח לשם גביית חיובי מזונות, על חשבון אחר שלא אושרה גבייתו בתיק.</w:t>
      </w:r>
    </w:p>
    <w:p w:rsidR="009B4B04" w:rsidRDefault="009B4B04" w:rsidP="009B4B04">
      <w:pPr>
        <w:pStyle w:val="ad"/>
        <w:bidi/>
        <w:spacing w:line="360" w:lineRule="auto"/>
        <w:jc w:val="both"/>
        <w:rPr>
          <w:rFonts w:cs="David"/>
          <w:b/>
          <w:bCs/>
          <w:sz w:val="24"/>
          <w:szCs w:val="24"/>
          <w:rtl/>
        </w:rPr>
      </w:pPr>
      <w:r>
        <w:rPr>
          <w:rFonts w:cs="David"/>
          <w:b/>
          <w:bCs/>
          <w:sz w:val="24"/>
          <w:szCs w:val="24"/>
          <w:rtl/>
        </w:rPr>
        <w:t>במצב דברים זה הרי שבצדק מבקשת הזוכה הגדלת הסכום שקוזז.</w:t>
      </w:r>
    </w:p>
    <w:p w:rsidR="009B4B04" w:rsidRDefault="009B4B04" w:rsidP="009B4B04">
      <w:pPr>
        <w:pStyle w:val="ad"/>
        <w:bidi/>
        <w:spacing w:line="360" w:lineRule="auto"/>
        <w:jc w:val="both"/>
        <w:rPr>
          <w:rFonts w:cs="David"/>
          <w:b/>
          <w:bCs/>
          <w:sz w:val="24"/>
          <w:szCs w:val="24"/>
          <w:rtl/>
        </w:rPr>
      </w:pPr>
      <w:r>
        <w:rPr>
          <w:rFonts w:cs="David"/>
          <w:b/>
          <w:bCs/>
          <w:sz w:val="24"/>
          <w:szCs w:val="24"/>
          <w:rtl/>
        </w:rPr>
        <w:t>אין מקום לקבל טענת החייב בדבר אי הגשת תצהיר, שכן הזוכה לא נדרשת לצרף תצהיר לבקשת ההגדלה, ומאחר וממילא טענותיה נשענות על האמור בהחלטותיו של כב' ביה"ד הרבני, שאת קביעותיו החייב לא מבקש לסתור.</w:t>
      </w:r>
    </w:p>
    <w:p w:rsidR="009B4B04" w:rsidRDefault="009B4B04" w:rsidP="009B4B04">
      <w:pPr>
        <w:pStyle w:val="ad"/>
        <w:bidi/>
        <w:spacing w:line="360" w:lineRule="auto"/>
        <w:jc w:val="both"/>
        <w:rPr>
          <w:rFonts w:cs="David"/>
          <w:b/>
          <w:bCs/>
          <w:sz w:val="24"/>
          <w:szCs w:val="24"/>
          <w:rtl/>
        </w:rPr>
      </w:pPr>
      <w:r>
        <w:rPr>
          <w:rFonts w:cs="David"/>
          <w:b/>
          <w:bCs/>
          <w:sz w:val="24"/>
          <w:szCs w:val="24"/>
          <w:rtl/>
        </w:rPr>
        <w:t>אף אין מקום לקבל טענת ההתיישנות או השיהוי שבפי החייב, שכן הלכה למעשה מדובר בחוב שהתבקשה גבייתו במועד, ורק לאחר ששולם, מתוקף החלטה שניתנה בשנת 2023, התגבש מחדש בשל "הסטת" חלק מן התשלומים לטובת חוב אחר.</w:t>
      </w:r>
    </w:p>
    <w:p w:rsidR="009B4B04" w:rsidRDefault="009B4B04" w:rsidP="009B4B04">
      <w:pPr>
        <w:pStyle w:val="ad"/>
        <w:bidi/>
        <w:spacing w:line="360" w:lineRule="auto"/>
        <w:jc w:val="both"/>
        <w:rPr>
          <w:rFonts w:cs="David"/>
          <w:b/>
          <w:bCs/>
          <w:sz w:val="24"/>
          <w:szCs w:val="24"/>
          <w:rtl/>
        </w:rPr>
      </w:pPr>
      <w:r>
        <w:rPr>
          <w:rFonts w:cs="David"/>
          <w:b/>
          <w:bCs/>
          <w:sz w:val="24"/>
          <w:szCs w:val="24"/>
          <w:rtl/>
        </w:rPr>
        <w:t>אין מדובר בבקשה להגדלת חוב "כספי" שאינו מזונות, שכן לגבי חוב זה נקבע במפורש ע"י כב' ביה"ד כי הוא נפרע, אלא מדובר בבקשה להגדיל מחדש חיובי מזונות שנגבו, ושהתשלום בגינם כאילו בוטל.</w:t>
      </w:r>
    </w:p>
    <w:p w:rsidR="009B4B04" w:rsidRDefault="009B4B04" w:rsidP="009B4B04">
      <w:pPr>
        <w:pStyle w:val="ad"/>
        <w:bidi/>
        <w:spacing w:line="360" w:lineRule="auto"/>
        <w:jc w:val="both"/>
        <w:rPr>
          <w:rFonts w:cs="David"/>
          <w:b/>
          <w:bCs/>
          <w:sz w:val="24"/>
          <w:szCs w:val="24"/>
          <w:rtl/>
        </w:rPr>
      </w:pPr>
      <w:r>
        <w:rPr>
          <w:rFonts w:cs="David"/>
          <w:b/>
          <w:bCs/>
          <w:sz w:val="24"/>
          <w:szCs w:val="24"/>
          <w:rtl/>
        </w:rPr>
        <w:t>לצד האמור, אין לקבל טענת- הזוכה כי קוזז סך של 51,000 ₪, שכן על-פי החלטתו של כב' ביה"ד מדובר בקיזוז בסך 28,000 ₪ בלבד.</w:t>
      </w:r>
    </w:p>
    <w:p w:rsidR="009B4B04" w:rsidRDefault="009B4B04" w:rsidP="009B4B04">
      <w:pPr>
        <w:pStyle w:val="ad"/>
        <w:bidi/>
        <w:spacing w:line="360" w:lineRule="auto"/>
        <w:jc w:val="both"/>
        <w:rPr>
          <w:rFonts w:cs="David"/>
          <w:sz w:val="24"/>
          <w:szCs w:val="24"/>
          <w:rtl/>
        </w:rPr>
      </w:pPr>
      <w:r>
        <w:rPr>
          <w:rFonts w:cs="David"/>
          <w:b/>
          <w:bCs/>
          <w:sz w:val="24"/>
          <w:szCs w:val="24"/>
          <w:u w:val="single"/>
          <w:rtl/>
        </w:rPr>
        <w:t>לפיכך, אני מורה על הגדלת חוב בסך 28,000 ₪ נכון ליום 24.7.23.</w:t>
      </w:r>
      <w:r>
        <w:rPr>
          <w:rFonts w:cs="David"/>
          <w:b/>
          <w:bCs/>
          <w:sz w:val="24"/>
          <w:szCs w:val="24"/>
          <w:rtl/>
        </w:rPr>
        <w:t xml:space="preserve">" </w:t>
      </w:r>
    </w:p>
    <w:p w:rsidR="003577DE" w:rsidRDefault="003577DE" w:rsidP="009B4B04">
      <w:pPr>
        <w:pStyle w:val="ad"/>
        <w:bidi/>
        <w:spacing w:line="360" w:lineRule="auto"/>
        <w:jc w:val="both"/>
        <w:rPr>
          <w:rFonts w:cs="David"/>
          <w:sz w:val="24"/>
          <w:szCs w:val="24"/>
          <w:rtl/>
        </w:rPr>
      </w:pPr>
    </w:p>
    <w:p w:rsidR="009B4B04" w:rsidRDefault="009B4B04" w:rsidP="009B4B04">
      <w:pPr>
        <w:pStyle w:val="ad"/>
        <w:numPr>
          <w:ilvl w:val="0"/>
          <w:numId w:val="1"/>
        </w:numPr>
        <w:bidi/>
        <w:spacing w:line="360" w:lineRule="auto"/>
        <w:jc w:val="both"/>
        <w:rPr>
          <w:rFonts w:cs="David"/>
          <w:b/>
          <w:bCs/>
          <w:sz w:val="24"/>
          <w:szCs w:val="24"/>
          <w:u w:val="single"/>
          <w:rtl/>
        </w:rPr>
      </w:pPr>
      <w:r>
        <w:rPr>
          <w:rFonts w:cs="David"/>
          <w:sz w:val="24"/>
          <w:szCs w:val="24"/>
          <w:rtl/>
        </w:rPr>
        <w:t xml:space="preserve">ביום 11.8.24, ניתנה החלטת כב' הרשמת על בקשת המערער לעיון חוזר על החלטה מיום 16.7.24 והבקשה נדחתה. </w:t>
      </w:r>
      <w:r>
        <w:rPr>
          <w:rFonts w:cs="David"/>
          <w:b/>
          <w:bCs/>
          <w:sz w:val="24"/>
          <w:szCs w:val="24"/>
          <w:rtl/>
        </w:rPr>
        <w:t>"אין מקום לעיון חוזר....."</w:t>
      </w:r>
    </w:p>
    <w:p w:rsidR="009B4B04" w:rsidRDefault="009B4B04" w:rsidP="009B4B04">
      <w:pPr>
        <w:spacing w:line="360" w:lineRule="auto"/>
        <w:jc w:val="both"/>
        <w:rPr>
          <w:b/>
          <w:bCs/>
          <w:u w:val="single"/>
        </w:rPr>
      </w:pPr>
      <w:r>
        <w:rPr>
          <w:b/>
          <w:bCs/>
          <w:u w:val="single"/>
          <w:rtl/>
        </w:rPr>
        <w:lastRenderedPageBreak/>
        <w:t>טענות המערער</w:t>
      </w:r>
    </w:p>
    <w:p w:rsidR="009B4B04" w:rsidRDefault="009B4B04" w:rsidP="000A53B2">
      <w:pPr>
        <w:pStyle w:val="ad"/>
        <w:numPr>
          <w:ilvl w:val="0"/>
          <w:numId w:val="1"/>
        </w:numPr>
        <w:bidi/>
        <w:spacing w:line="360" w:lineRule="auto"/>
        <w:jc w:val="both"/>
        <w:rPr>
          <w:rFonts w:cs="David"/>
          <w:sz w:val="24"/>
          <w:szCs w:val="24"/>
        </w:rPr>
      </w:pPr>
      <w:r>
        <w:rPr>
          <w:rFonts w:cs="David"/>
          <w:sz w:val="24"/>
          <w:szCs w:val="24"/>
          <w:rtl/>
        </w:rPr>
        <w:t>המערער טוען כי רשמת ההוצאה לפועל הייתה צריכה לעשות שימוש בסמכותה ולשלוח שאלת הבהרה לבית הדין הרבני ב</w:t>
      </w:r>
      <w:r w:rsidR="000A53B2">
        <w:rPr>
          <w:rFonts w:cs="David" w:hint="cs"/>
          <w:sz w:val="24"/>
          <w:szCs w:val="24"/>
          <w:rtl/>
        </w:rPr>
        <w:t>*****</w:t>
      </w:r>
      <w:r>
        <w:rPr>
          <w:rFonts w:cs="David"/>
          <w:sz w:val="24"/>
          <w:szCs w:val="24"/>
          <w:rtl/>
        </w:rPr>
        <w:t xml:space="preserve"> ככל וקביעותיו לא היו ברורות לה.</w:t>
      </w:r>
    </w:p>
    <w:p w:rsidR="003577DE" w:rsidRDefault="003577DE" w:rsidP="003577DE">
      <w:pPr>
        <w:pStyle w:val="ad"/>
        <w:bidi/>
        <w:spacing w:line="360" w:lineRule="auto"/>
        <w:jc w:val="both"/>
        <w:rPr>
          <w:rFonts w:cs="David"/>
          <w:sz w:val="24"/>
          <w:szCs w:val="24"/>
          <w:rtl/>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בקשת המשיבה להגדלת חוב נגועה בחוסר תום לב.</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המערער מיוצג ע"י ב"כ מטעם הלשכה לסיוע משפטי ומעיד על מצבו הכלכלי וכי על משכורתו הוטל עיקול (נספח ב') וכספי המזונות משולמים לזוכה ישירות ע"י הוצאה לפועל.</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 xml:space="preserve">המערער טוען כי משכורתו החודשית עומדת על סך של 2,500 ₪ (תלוש שכר ספטמבר 2024, נספח א'), למבקש הלוואות בסך של 250,000 ₪ (דפי עו"ש, פירוט הלוואות, נספח </w:t>
      </w:r>
      <w:proofErr w:type="spellStart"/>
      <w:r>
        <w:rPr>
          <w:rFonts w:cs="David"/>
          <w:sz w:val="24"/>
          <w:szCs w:val="24"/>
          <w:rtl/>
        </w:rPr>
        <w:t>ג,ד</w:t>
      </w:r>
      <w:proofErr w:type="spellEnd"/>
      <w:r>
        <w:rPr>
          <w:rFonts w:cs="David"/>
          <w:sz w:val="24"/>
          <w:szCs w:val="24"/>
          <w:rtl/>
        </w:rPr>
        <w:t>) המנוכים ממשכורתו החודשית בסך של 4,600 ₪.</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אין למבקש יכולת לעמוד בתשלום העירבון.</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דחיית הבקשה תגרום למבקש נזק רב וימנע ממנו הזכות לקבל יומו בבית המשפט.</w:t>
      </w:r>
    </w:p>
    <w:p w:rsidR="009B4B04" w:rsidRDefault="009B4B04" w:rsidP="009B4B04">
      <w:pPr>
        <w:spacing w:line="360" w:lineRule="auto"/>
        <w:jc w:val="both"/>
        <w:rPr>
          <w:b/>
          <w:bCs/>
          <w:u w:val="single"/>
        </w:rPr>
      </w:pPr>
      <w:r>
        <w:rPr>
          <w:b/>
          <w:bCs/>
          <w:u w:val="single"/>
          <w:rtl/>
        </w:rPr>
        <w:t>טענות המשיבה</w:t>
      </w: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המשיבה טוענת כי לא מתקיימות בענייננו הנסיבות בהן ניתן לפטור מערובה.</w:t>
      </w:r>
    </w:p>
    <w:p w:rsidR="003577DE" w:rsidRDefault="003577DE" w:rsidP="003577DE">
      <w:pPr>
        <w:pStyle w:val="ad"/>
        <w:bidi/>
        <w:spacing w:line="360" w:lineRule="auto"/>
        <w:jc w:val="both"/>
        <w:rPr>
          <w:rFonts w:cs="David"/>
          <w:sz w:val="24"/>
          <w:szCs w:val="24"/>
          <w:rtl/>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המערער הגיש בקשתו לפטור מערבון חודש לאחר החלטת בית המשפט וביום האחרון למועד ההפקדה.</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המערער, שלא שילם מזונות הקטינים משך שנתיים, מגיש בקשות השכם וערב והמשיבה נאלצת לשלם בגינם שכ"ט עו"ד לייצוגה בהליך. מתן פטור מערבון יפגע במשיבה.</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סיכויי הערעור קלושים שכן מדובר ביישום החלטת בית הדין הרבני.</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מבוקש לדחות בקשת הערעור ולחילופין דחיית הבקשה לפטור מהפקדת ערובה.</w:t>
      </w:r>
    </w:p>
    <w:p w:rsidR="009B4B04" w:rsidRDefault="009B4B04" w:rsidP="009B4B04">
      <w:pPr>
        <w:spacing w:line="360" w:lineRule="auto"/>
        <w:jc w:val="both"/>
        <w:rPr>
          <w:b/>
          <w:bCs/>
          <w:u w:val="single"/>
        </w:rPr>
      </w:pPr>
      <w:r>
        <w:rPr>
          <w:b/>
          <w:bCs/>
          <w:u w:val="single"/>
          <w:rtl/>
        </w:rPr>
        <w:lastRenderedPageBreak/>
        <w:t>המתווה הנורמטיבי</w:t>
      </w:r>
    </w:p>
    <w:p w:rsidR="009B4B04" w:rsidRDefault="009B4B04" w:rsidP="009B4B04">
      <w:pPr>
        <w:pStyle w:val="ad"/>
        <w:numPr>
          <w:ilvl w:val="0"/>
          <w:numId w:val="1"/>
        </w:numPr>
        <w:bidi/>
        <w:spacing w:line="360" w:lineRule="auto"/>
        <w:jc w:val="both"/>
        <w:rPr>
          <w:rFonts w:cs="David"/>
          <w:sz w:val="24"/>
          <w:szCs w:val="24"/>
          <w:rtl/>
        </w:rPr>
      </w:pPr>
      <w:r>
        <w:rPr>
          <w:rFonts w:cs="David"/>
          <w:sz w:val="24"/>
          <w:szCs w:val="24"/>
          <w:rtl/>
        </w:rPr>
        <w:t xml:space="preserve">תקנה 519 (א) לתקנות סדר הדין האזרחי, </w:t>
      </w:r>
      <w:proofErr w:type="spellStart"/>
      <w:r>
        <w:rPr>
          <w:rFonts w:cs="David"/>
          <w:sz w:val="24"/>
          <w:szCs w:val="24"/>
          <w:rtl/>
        </w:rPr>
        <w:t>התשמ"ד</w:t>
      </w:r>
      <w:proofErr w:type="spellEnd"/>
      <w:r>
        <w:rPr>
          <w:rFonts w:cs="David"/>
          <w:sz w:val="24"/>
          <w:szCs w:val="24"/>
          <w:rtl/>
        </w:rPr>
        <w:t>- 1984 קובעת בזו הלשון:</w:t>
      </w:r>
    </w:p>
    <w:p w:rsidR="009B4B04" w:rsidRPr="003577DE" w:rsidRDefault="009B4B04" w:rsidP="009B4B04">
      <w:pPr>
        <w:spacing w:line="360" w:lineRule="auto"/>
        <w:ind w:left="1134" w:right="901"/>
        <w:jc w:val="both"/>
        <w:rPr>
          <w:rFonts w:ascii="David" w:hAnsi="David"/>
          <w:b/>
          <w:bCs/>
        </w:rPr>
      </w:pPr>
      <w:r w:rsidRPr="003577DE">
        <w:rPr>
          <w:rStyle w:val="default"/>
          <w:rFonts w:ascii="David" w:hAnsi="David" w:cs="David"/>
          <w:b/>
          <w:bCs/>
          <w:sz w:val="24"/>
          <w:szCs w:val="24"/>
          <w:rtl/>
        </w:rPr>
        <w:t>"בית המשפט או הרשם רשאי, אם נראה לו הדבר, לצוות על תובע ליתן ערובה לתשלום כל הוצאותיו של נתבע.</w:t>
      </w:r>
      <w:r w:rsidRPr="003577DE">
        <w:rPr>
          <w:rFonts w:ascii="David" w:hAnsi="David"/>
          <w:b/>
          <w:bCs/>
          <w:rtl/>
        </w:rPr>
        <w:t>"</w:t>
      </w:r>
    </w:p>
    <w:p w:rsidR="009B4B04" w:rsidRPr="003577DE" w:rsidRDefault="009B4B04" w:rsidP="009B4B04">
      <w:pPr>
        <w:pStyle w:val="ad"/>
        <w:numPr>
          <w:ilvl w:val="0"/>
          <w:numId w:val="1"/>
        </w:numPr>
        <w:bidi/>
        <w:spacing w:line="360" w:lineRule="auto"/>
        <w:jc w:val="both"/>
        <w:rPr>
          <w:rFonts w:cs="David"/>
          <w:sz w:val="24"/>
          <w:szCs w:val="24"/>
        </w:rPr>
      </w:pPr>
      <w:r>
        <w:rPr>
          <w:rFonts w:cs="David"/>
          <w:sz w:val="24"/>
          <w:szCs w:val="24"/>
          <w:rtl/>
        </w:rPr>
        <w:t xml:space="preserve">התקנה הנ"ל לא קבעה קריטריונים לחיוב תובע בהפקדת ערובה, אולם הפסיקה יצקה תוכן לתקנה. בהקשר זה יפים לענייננו דברי כב' </w:t>
      </w:r>
      <w:proofErr w:type="spellStart"/>
      <w:r>
        <w:rPr>
          <w:rFonts w:cs="David"/>
          <w:sz w:val="24"/>
          <w:szCs w:val="24"/>
          <w:rtl/>
        </w:rPr>
        <w:t>הש</w:t>
      </w:r>
      <w:proofErr w:type="spellEnd"/>
      <w:r>
        <w:rPr>
          <w:rFonts w:cs="David"/>
          <w:sz w:val="24"/>
          <w:szCs w:val="24"/>
          <w:rtl/>
        </w:rPr>
        <w:t xml:space="preserve">' א. </w:t>
      </w:r>
      <w:proofErr w:type="spellStart"/>
      <w:r>
        <w:rPr>
          <w:rFonts w:cs="David"/>
          <w:sz w:val="24"/>
          <w:szCs w:val="24"/>
          <w:rtl/>
        </w:rPr>
        <w:t>גרוניס</w:t>
      </w:r>
      <w:proofErr w:type="spellEnd"/>
      <w:r>
        <w:rPr>
          <w:rFonts w:cs="David"/>
          <w:sz w:val="24"/>
          <w:szCs w:val="24"/>
          <w:rtl/>
        </w:rPr>
        <w:t xml:space="preserve"> </w:t>
      </w:r>
      <w:proofErr w:type="spellStart"/>
      <w:r>
        <w:rPr>
          <w:rFonts w:cs="David"/>
          <w:sz w:val="24"/>
          <w:szCs w:val="24"/>
          <w:rtl/>
        </w:rPr>
        <w:t>ברע"א</w:t>
      </w:r>
      <w:proofErr w:type="spellEnd"/>
      <w:r>
        <w:rPr>
          <w:rFonts w:cs="David"/>
          <w:sz w:val="24"/>
          <w:szCs w:val="24"/>
          <w:rtl/>
        </w:rPr>
        <w:t xml:space="preserve"> 2416/04 </w:t>
      </w:r>
      <w:r>
        <w:rPr>
          <w:rFonts w:cs="David"/>
          <w:b/>
          <w:bCs/>
          <w:sz w:val="24"/>
          <w:szCs w:val="24"/>
          <w:rtl/>
        </w:rPr>
        <w:t xml:space="preserve">מדינת ישראל נ' </w:t>
      </w:r>
      <w:r w:rsidRPr="003577DE">
        <w:rPr>
          <w:rFonts w:cs="David"/>
          <w:b/>
          <w:bCs/>
          <w:sz w:val="24"/>
          <w:szCs w:val="24"/>
          <w:rtl/>
        </w:rPr>
        <w:t xml:space="preserve">עזבון המנוח באסל נעים </w:t>
      </w:r>
      <w:proofErr w:type="spellStart"/>
      <w:r w:rsidRPr="003577DE">
        <w:rPr>
          <w:rFonts w:cs="David"/>
          <w:b/>
          <w:bCs/>
          <w:sz w:val="24"/>
          <w:szCs w:val="24"/>
          <w:rtl/>
        </w:rPr>
        <w:t>אברהים</w:t>
      </w:r>
      <w:proofErr w:type="spellEnd"/>
      <w:r w:rsidRPr="003577DE">
        <w:rPr>
          <w:rFonts w:cs="David"/>
          <w:sz w:val="24"/>
          <w:szCs w:val="24"/>
          <w:rtl/>
        </w:rPr>
        <w:t xml:space="preserve"> פ"ד נח (5) 865 בעמ' 868:</w:t>
      </w:r>
    </w:p>
    <w:p w:rsidR="009B4B04" w:rsidRDefault="009B4B04" w:rsidP="009B4B04">
      <w:pPr>
        <w:pStyle w:val="ae"/>
        <w:spacing w:before="240" w:line="360" w:lineRule="auto"/>
        <w:ind w:left="1134" w:right="901" w:firstLine="0"/>
        <w:rPr>
          <w:rFonts w:cs="David"/>
          <w:b/>
          <w:bCs/>
          <w:sz w:val="24"/>
        </w:rPr>
      </w:pPr>
      <w:r w:rsidRPr="003577DE">
        <w:rPr>
          <w:rFonts w:cs="David"/>
          <w:b/>
          <w:bCs/>
          <w:sz w:val="24"/>
          <w:rtl/>
        </w:rPr>
        <w:t xml:space="preserve">"איזון דומה נעשה במסגרת הסמכות הקבועה </w:t>
      </w:r>
      <w:hyperlink r:id="rId10" w:history="1">
        <w:r w:rsidRPr="003577DE">
          <w:rPr>
            <w:rStyle w:val="Hyperlink"/>
            <w:rFonts w:cs="David"/>
            <w:b/>
            <w:bCs/>
            <w:color w:val="auto"/>
            <w:sz w:val="24"/>
            <w:rtl/>
          </w:rPr>
          <w:t>בתקנה 519</w:t>
        </w:r>
      </w:hyperlink>
      <w:r w:rsidRPr="003577DE">
        <w:rPr>
          <w:rFonts w:cs="David"/>
          <w:b/>
          <w:bCs/>
          <w:sz w:val="24"/>
          <w:rtl/>
        </w:rPr>
        <w:t xml:space="preserve">, אשר השימוש בה מודרך אף הוא לאורה של זכות הגישה לערכאות ולאור הצורך להגן במקרים מסוימים על זכותו של הנתבע כי לא יצא בחסרון כיס אם תידחה התביעה נגדו. </w:t>
      </w:r>
      <w:hyperlink r:id="rId11" w:history="1">
        <w:r w:rsidRPr="003577DE">
          <w:rPr>
            <w:rStyle w:val="Hyperlink"/>
            <w:rFonts w:cs="David"/>
            <w:b/>
            <w:bCs/>
            <w:color w:val="auto"/>
            <w:sz w:val="24"/>
            <w:rtl/>
          </w:rPr>
          <w:t>בתקנה 519</w:t>
        </w:r>
      </w:hyperlink>
      <w:r w:rsidRPr="003577DE">
        <w:rPr>
          <w:rFonts w:cs="David"/>
          <w:b/>
          <w:bCs/>
          <w:sz w:val="24"/>
          <w:rtl/>
        </w:rPr>
        <w:t xml:space="preserve"> עצמה לא נקבעו קריטריונים להפעלת הסמכות לחייב בהפקדת ערובה, ואולם בפסיקה גובשו כללים מדריכים וסוגי מקרים שבהם ייעשה שימוש בתקנה. הכלל הוא שאין בית</w:t>
      </w:r>
      <w:r w:rsidRPr="003577DE">
        <w:rPr>
          <w:rFonts w:cs="David"/>
          <w:b/>
          <w:bCs/>
          <w:position w:val="4"/>
          <w:sz w:val="24"/>
          <w:rtl/>
        </w:rPr>
        <w:t>-</w:t>
      </w:r>
      <w:r w:rsidRPr="003577DE">
        <w:rPr>
          <w:rFonts w:cs="David"/>
          <w:b/>
          <w:bCs/>
          <w:sz w:val="24"/>
          <w:rtl/>
        </w:rPr>
        <w:t>המשפט מחייב תובע במתן ערובה להוצאות מחמת עוניו בלבד. גם כאן לא תיחסם גישתו לערכאות של תובע דל אמצעים רק בשל חוסר יכולתו הכלכלית, אולם במסגרת המקרים אשר נקבעו בפסיקה להטלת חיוב להפקדת ערובה, מקובל כי בית</w:t>
      </w:r>
      <w:r w:rsidRPr="003577DE">
        <w:rPr>
          <w:rFonts w:cs="David"/>
          <w:b/>
          <w:bCs/>
          <w:position w:val="4"/>
          <w:sz w:val="24"/>
          <w:rtl/>
        </w:rPr>
        <w:t>-</w:t>
      </w:r>
      <w:r w:rsidRPr="003577DE">
        <w:rPr>
          <w:rFonts w:cs="David"/>
          <w:b/>
          <w:bCs/>
          <w:sz w:val="24"/>
          <w:rtl/>
        </w:rPr>
        <w:t xml:space="preserve">המשפט ישתמש בסמכותו האמורה כאשר התובע מתגורר מחוץ לתחום השיפוט, ואין בידיו להצביע על נכסים הנמצאים בארץ באופן אשר יקשה על הנתבע לגבות את הוצאותיו אם ייפסקו לטובתו (ראו למשל, </w:t>
      </w:r>
      <w:hyperlink r:id="rId12" w:history="1">
        <w:r w:rsidRPr="003577DE">
          <w:rPr>
            <w:rStyle w:val="Hyperlink"/>
            <w:rFonts w:cs="David"/>
            <w:b/>
            <w:bCs/>
            <w:color w:val="auto"/>
            <w:sz w:val="24"/>
            <w:rtl/>
          </w:rPr>
          <w:t>רע"א 2241/01</w:t>
        </w:r>
      </w:hyperlink>
      <w:r w:rsidRPr="003577DE">
        <w:rPr>
          <w:rFonts w:cs="David"/>
          <w:b/>
          <w:bCs/>
          <w:sz w:val="24"/>
          <w:rtl/>
        </w:rPr>
        <w:t xml:space="preserve"> </w:t>
      </w:r>
      <w:r w:rsidRPr="003577DE">
        <w:rPr>
          <w:rFonts w:cs="David" w:hint="cs"/>
          <w:b/>
          <w:bCs/>
          <w:sz w:val="24"/>
          <w:rtl/>
        </w:rPr>
        <w:t xml:space="preserve">הופ נ' ידיעות תקשורת בע"מ [6]). הלכה זו הוחלה גם על תושבי הרשות הפלסטינית, אשר נחשבים לצורך העניין כתובע המתגורר בחו"ל. עם זאת עובדת היות התובע תושב חוץ איננה הטעם היחיד להטלת חיוב להפקיד ערובה להבטחת הוצאות הנתבע (ראו </w:t>
      </w:r>
      <w:hyperlink r:id="rId13" w:history="1">
        <w:r w:rsidRPr="003577DE">
          <w:rPr>
            <w:rStyle w:val="Hyperlink"/>
            <w:rFonts w:cs="David"/>
            <w:b/>
            <w:bCs/>
            <w:color w:val="auto"/>
            <w:sz w:val="24"/>
            <w:rtl/>
          </w:rPr>
          <w:t>רע"א 6787/99</w:t>
        </w:r>
      </w:hyperlink>
      <w:r w:rsidRPr="003577DE">
        <w:rPr>
          <w:rFonts w:cs="David"/>
          <w:b/>
          <w:bCs/>
          <w:sz w:val="24"/>
          <w:rtl/>
        </w:rPr>
        <w:t xml:space="preserve"> </w:t>
      </w:r>
      <w:proofErr w:type="spellStart"/>
      <w:r w:rsidRPr="003577DE">
        <w:rPr>
          <w:rFonts w:cs="David"/>
          <w:b/>
          <w:bCs/>
          <w:sz w:val="24"/>
          <w:rtl/>
        </w:rPr>
        <w:t>עאשור</w:t>
      </w:r>
      <w:proofErr w:type="spellEnd"/>
      <w:r w:rsidRPr="003577DE">
        <w:rPr>
          <w:rFonts w:cs="David"/>
          <w:b/>
          <w:bCs/>
          <w:sz w:val="24"/>
          <w:rtl/>
        </w:rPr>
        <w:t xml:space="preserve"> נ' מדינת ישראל [7]). בית</w:t>
      </w:r>
      <w:r w:rsidRPr="003577DE">
        <w:rPr>
          <w:rFonts w:cs="David"/>
          <w:b/>
          <w:bCs/>
          <w:position w:val="4"/>
          <w:sz w:val="24"/>
          <w:rtl/>
        </w:rPr>
        <w:t>-</w:t>
      </w:r>
      <w:r w:rsidRPr="003577DE">
        <w:rPr>
          <w:rFonts w:cs="David"/>
          <w:b/>
          <w:bCs/>
          <w:sz w:val="24"/>
          <w:rtl/>
        </w:rPr>
        <w:t>המשפט ישקול שיקולים רלוונטיים נוספים וידון בכל מקרה לגופו על</w:t>
      </w:r>
      <w:r w:rsidRPr="003577DE">
        <w:rPr>
          <w:rFonts w:cs="David"/>
          <w:b/>
          <w:bCs/>
          <w:position w:val="4"/>
          <w:sz w:val="24"/>
          <w:rtl/>
        </w:rPr>
        <w:t>-</w:t>
      </w:r>
      <w:r w:rsidRPr="003577DE">
        <w:rPr>
          <w:rFonts w:cs="David"/>
          <w:b/>
          <w:bCs/>
          <w:sz w:val="24"/>
          <w:rtl/>
        </w:rPr>
        <w:t xml:space="preserve">פי נסיבותיו (ראו </w:t>
      </w:r>
      <w:hyperlink r:id="rId14" w:history="1">
        <w:r w:rsidRPr="003577DE">
          <w:rPr>
            <w:rStyle w:val="Hyperlink"/>
            <w:rFonts w:cs="David"/>
            <w:b/>
            <w:bCs/>
            <w:color w:val="auto"/>
            <w:sz w:val="24"/>
            <w:rtl/>
          </w:rPr>
          <w:t>רע"א 6066/00</w:t>
        </w:r>
      </w:hyperlink>
      <w:r w:rsidRPr="003577DE">
        <w:rPr>
          <w:rFonts w:cs="David"/>
          <w:b/>
          <w:bCs/>
          <w:sz w:val="24"/>
          <w:rtl/>
        </w:rPr>
        <w:t xml:space="preserve"> </w:t>
      </w:r>
      <w:proofErr w:type="spellStart"/>
      <w:r w:rsidRPr="003577DE">
        <w:rPr>
          <w:rFonts w:cs="David"/>
          <w:b/>
          <w:bCs/>
          <w:sz w:val="24"/>
          <w:rtl/>
        </w:rPr>
        <w:t>אעדילי</w:t>
      </w:r>
      <w:proofErr w:type="spellEnd"/>
      <w:r w:rsidRPr="003577DE">
        <w:rPr>
          <w:rFonts w:cs="David"/>
          <w:b/>
          <w:bCs/>
          <w:sz w:val="24"/>
          <w:rtl/>
        </w:rPr>
        <w:t xml:space="preserve"> נ' חב' סלקום ישראל בע"מ [8]). לאור כל האמור לעיל ברי כי שיקול</w:t>
      </w:r>
      <w:r w:rsidRPr="003577DE">
        <w:rPr>
          <w:rFonts w:cs="David"/>
          <w:b/>
          <w:bCs/>
          <w:position w:val="4"/>
          <w:sz w:val="24"/>
          <w:rtl/>
        </w:rPr>
        <w:t>-</w:t>
      </w:r>
      <w:r w:rsidRPr="003577DE">
        <w:rPr>
          <w:rFonts w:cs="David"/>
          <w:b/>
          <w:bCs/>
          <w:sz w:val="24"/>
          <w:rtl/>
        </w:rPr>
        <w:t>דעתו של בית</w:t>
      </w:r>
      <w:r w:rsidRPr="003577DE">
        <w:rPr>
          <w:rFonts w:cs="David"/>
          <w:b/>
          <w:bCs/>
          <w:position w:val="4"/>
          <w:sz w:val="24"/>
          <w:rtl/>
        </w:rPr>
        <w:t>-</w:t>
      </w:r>
      <w:r w:rsidRPr="003577DE">
        <w:rPr>
          <w:rFonts w:cs="David"/>
          <w:b/>
          <w:bCs/>
          <w:sz w:val="24"/>
          <w:rtl/>
        </w:rPr>
        <w:t xml:space="preserve">המשפט במסגרת </w:t>
      </w:r>
      <w:hyperlink r:id="rId15" w:history="1">
        <w:r w:rsidRPr="003577DE">
          <w:rPr>
            <w:rStyle w:val="Hyperlink"/>
            <w:rFonts w:cs="David"/>
            <w:b/>
            <w:bCs/>
            <w:color w:val="auto"/>
            <w:sz w:val="24"/>
            <w:rtl/>
          </w:rPr>
          <w:t>תקנה 519(א)</w:t>
        </w:r>
      </w:hyperlink>
      <w:r w:rsidRPr="003577DE">
        <w:rPr>
          <w:rFonts w:cs="David"/>
          <w:b/>
          <w:bCs/>
          <w:sz w:val="24"/>
          <w:rtl/>
        </w:rPr>
        <w:t xml:space="preserve"> רחב הוא. במסגרת זו על בית</w:t>
      </w:r>
      <w:r w:rsidRPr="003577DE">
        <w:rPr>
          <w:rFonts w:cs="David"/>
          <w:b/>
          <w:bCs/>
          <w:position w:val="4"/>
          <w:sz w:val="24"/>
          <w:rtl/>
        </w:rPr>
        <w:t>-</w:t>
      </w:r>
      <w:r w:rsidRPr="003577DE">
        <w:rPr>
          <w:rFonts w:cs="David"/>
          <w:b/>
          <w:bCs/>
          <w:sz w:val="24"/>
          <w:rtl/>
        </w:rPr>
        <w:t xml:space="preserve">המשפט, מחד, לשוות לנגד עיניו את מטרות התקנה – הבטחת תשלום הוצאות הנתבע </w:t>
      </w:r>
      <w:r>
        <w:rPr>
          <w:rFonts w:cs="David"/>
          <w:b/>
          <w:bCs/>
          <w:sz w:val="24"/>
          <w:rtl/>
        </w:rPr>
        <w:lastRenderedPageBreak/>
        <w:t>שהתביעה נגדו נדחתה וכן צמצומה של האפשרות להגיש תביעות סרק, ומאידך, לאפשר את הגישה לבתי</w:t>
      </w:r>
      <w:r>
        <w:rPr>
          <w:rFonts w:cs="David"/>
          <w:b/>
          <w:bCs/>
          <w:position w:val="4"/>
          <w:sz w:val="24"/>
          <w:rtl/>
        </w:rPr>
        <w:t>-</w:t>
      </w:r>
      <w:r>
        <w:rPr>
          <w:rFonts w:cs="David"/>
          <w:b/>
          <w:bCs/>
          <w:sz w:val="24"/>
          <w:rtl/>
        </w:rPr>
        <w:t xml:space="preserve">המשפט לשם הגנה על זכויות." </w:t>
      </w:r>
    </w:p>
    <w:p w:rsidR="009B4B04" w:rsidRDefault="009B4B04" w:rsidP="009B4B04">
      <w:pPr>
        <w:pStyle w:val="ae"/>
        <w:spacing w:before="240" w:line="360" w:lineRule="auto"/>
        <w:ind w:left="1134" w:right="901" w:firstLine="0"/>
        <w:rPr>
          <w:rFonts w:cs="David"/>
          <w:b/>
          <w:bCs/>
          <w:sz w:val="24"/>
          <w:rtl/>
        </w:rPr>
      </w:pPr>
      <w:r>
        <w:rPr>
          <w:rFonts w:cs="David"/>
          <w:sz w:val="24"/>
          <w:rtl/>
        </w:rPr>
        <w:t xml:space="preserve">ועוד בהקשר זה יפים לענייננו דברי כב' </w:t>
      </w:r>
      <w:proofErr w:type="spellStart"/>
      <w:r>
        <w:rPr>
          <w:rFonts w:cs="David"/>
          <w:sz w:val="24"/>
          <w:rtl/>
        </w:rPr>
        <w:t>הש</w:t>
      </w:r>
      <w:proofErr w:type="spellEnd"/>
      <w:r>
        <w:rPr>
          <w:rFonts w:cs="David"/>
          <w:sz w:val="24"/>
          <w:rtl/>
        </w:rPr>
        <w:t xml:space="preserve">' ס. ג'ובראן </w:t>
      </w:r>
      <w:proofErr w:type="spellStart"/>
      <w:r>
        <w:rPr>
          <w:rFonts w:cs="David"/>
          <w:sz w:val="24"/>
          <w:rtl/>
        </w:rPr>
        <w:t>בשג"ץ</w:t>
      </w:r>
      <w:proofErr w:type="spellEnd"/>
      <w:r>
        <w:rPr>
          <w:rFonts w:cs="David"/>
          <w:sz w:val="24"/>
          <w:rtl/>
        </w:rPr>
        <w:t xml:space="preserve">  4934-14 </w:t>
      </w:r>
      <w:r>
        <w:rPr>
          <w:rFonts w:cs="David"/>
          <w:b/>
          <w:bCs/>
          <w:sz w:val="24"/>
          <w:rtl/>
        </w:rPr>
        <w:t>מילנה גורנשטיין נ' כנסת ישראל</w:t>
      </w:r>
      <w:r>
        <w:rPr>
          <w:rFonts w:cs="David"/>
          <w:sz w:val="24"/>
          <w:rtl/>
        </w:rPr>
        <w:t>, (פורסם ברשומות, 21.07.14)</w:t>
      </w:r>
    </w:p>
    <w:p w:rsidR="009B4B04" w:rsidRDefault="009B4B04" w:rsidP="009B4B04">
      <w:pPr>
        <w:pStyle w:val="ae"/>
        <w:spacing w:before="240" w:line="360" w:lineRule="auto"/>
        <w:ind w:left="1134" w:right="901" w:firstLine="0"/>
        <w:rPr>
          <w:rFonts w:cs="David"/>
          <w:b/>
          <w:bCs/>
          <w:sz w:val="24"/>
          <w:rtl/>
        </w:rPr>
      </w:pPr>
      <w:r>
        <w:rPr>
          <w:rFonts w:ascii="David" w:hAnsi="David" w:cs="David"/>
          <w:b/>
          <w:bCs/>
          <w:sz w:val="24"/>
          <w:rtl/>
        </w:rPr>
        <w:t>"תשלום האגרה הוא תשלום חובה המוטל על כל מתדיין עם פתיחת הליך. תקנות בתי המשפט (אגרות) מכילות רשימה סגורה של פטורים בתנאים מסוימים. מעבר להם, כאשר מוגשת בקשה לפטור מתשלום אגרה, זה יוענק רק בהתקיים שני תנאים מצטברים בעניינו של המבקש: העדר מסוגלות כלכלית; הליך המגלה עילה. באשר לתנאי הראשון נדרשת הוכחה הכוללת תיעוד ואסמכתאות שונות וכן תצהיר כדי לעמוד בו. באשר לתנאי השני, בימ"ש בוחן האם עילת ההליך שהוגש אינה קלושה. מדובר ברף שאינו גבוה, ועניינו בבחינה לכאורית של העילה, כדי לוודא שאין מדובר בהליך חסר סיכוי ממש.</w:t>
      </w:r>
    </w:p>
    <w:p w:rsidR="009B4B04" w:rsidRDefault="009B4B04" w:rsidP="009B4B04">
      <w:pPr>
        <w:pStyle w:val="ae"/>
        <w:spacing w:before="240" w:line="360" w:lineRule="auto"/>
        <w:ind w:left="1134" w:right="901" w:firstLine="0"/>
        <w:rPr>
          <w:rFonts w:cs="David"/>
          <w:sz w:val="24"/>
          <w:rtl/>
        </w:rPr>
      </w:pPr>
      <w:r>
        <w:rPr>
          <w:rFonts w:ascii="David" w:hAnsi="David" w:cs="David"/>
          <w:b/>
          <w:bCs/>
          <w:sz w:val="24"/>
          <w:rtl/>
        </w:rPr>
        <w:t>הפקדת ערובה נועדה להבטחת הוצאות המשיב. ברירת המחדל לסוג הערובה היא הפקדת עירבון. בעל דין יכול לבקש פטור מהפקדת עירבון. במסגרת בקשה לפטור מהפקדת עירבון, על המבקש רובץ הנטל להוכיח שני תנאים מצטברים כאמור בעניין פטור מאגרה, ואולם מדובר ברף גבוה יותר בעניין זה. באשר ליכולת כלכלית, בימ"ש אינו מסתפק בבחינת מסוגלותו האישית של המבקש ושל סביבתו הקרובה אלא עליו להוכיח שניסה להסתייע בחבריו וקרוביו לשם הפקדת העירבון, או להציג טעם מספק מדוע לא עשה כן. באשר להליך המגלה עילה, לא די בהוכחה לכאורית של סיכוי כלשהו, אף נמוך, להליך או קיומה של עילה, אלא נדרשים סיכויי הצלחה גבוהים יותר לקבלת</w:t>
      </w:r>
      <w:r>
        <w:rPr>
          <w:rFonts w:cs="David"/>
          <w:b/>
          <w:bCs/>
          <w:sz w:val="24"/>
          <w:rtl/>
        </w:rPr>
        <w:t xml:space="preserve"> הפטור".</w:t>
      </w:r>
      <w:r>
        <w:rPr>
          <w:rFonts w:cs="David"/>
          <w:sz w:val="24"/>
          <w:rtl/>
        </w:rPr>
        <w:t xml:space="preserve"> ( </w:t>
      </w:r>
      <w:proofErr w:type="spellStart"/>
      <w:r>
        <w:rPr>
          <w:rFonts w:cs="David"/>
          <w:sz w:val="24"/>
          <w:rtl/>
        </w:rPr>
        <w:t>בשג"ץ</w:t>
      </w:r>
      <w:proofErr w:type="spellEnd"/>
      <w:r>
        <w:rPr>
          <w:rFonts w:cs="David"/>
          <w:sz w:val="24"/>
          <w:rtl/>
        </w:rPr>
        <w:t xml:space="preserve"> 4934-14</w:t>
      </w:r>
      <w:r>
        <w:rPr>
          <w:rFonts w:cs="David"/>
          <w:b/>
          <w:bCs/>
          <w:sz w:val="24"/>
          <w:rtl/>
        </w:rPr>
        <w:t>,</w:t>
      </w:r>
      <w:r>
        <w:rPr>
          <w:rFonts w:cs="David"/>
          <w:sz w:val="24"/>
          <w:rtl/>
        </w:rPr>
        <w:t xml:space="preserve"> בית המשפט העליון </w:t>
      </w:r>
      <w:proofErr w:type="spellStart"/>
      <w:r>
        <w:rPr>
          <w:rFonts w:cs="David"/>
          <w:sz w:val="24"/>
          <w:rtl/>
        </w:rPr>
        <w:t>השו</w:t>
      </w:r>
      <w:proofErr w:type="spellEnd"/>
      <w:r>
        <w:rPr>
          <w:rFonts w:cs="David"/>
          <w:sz w:val="24"/>
          <w:rtl/>
        </w:rPr>
        <w:t>' ס' ג'ובראן)</w:t>
      </w:r>
    </w:p>
    <w:p w:rsidR="009B4B04" w:rsidRDefault="009B4B04" w:rsidP="009B4B04">
      <w:pPr>
        <w:spacing w:line="360" w:lineRule="auto"/>
        <w:jc w:val="both"/>
        <w:rPr>
          <w:b/>
          <w:bCs/>
          <w:rtl/>
        </w:rPr>
      </w:pPr>
      <w:r>
        <w:rPr>
          <w:b/>
          <w:bCs/>
          <w:u w:val="single"/>
          <w:rtl/>
        </w:rPr>
        <w:t>דיון והכרעה</w:t>
      </w:r>
    </w:p>
    <w:p w:rsidR="009B4B04" w:rsidRDefault="009B4B04" w:rsidP="009B4B04">
      <w:pPr>
        <w:pStyle w:val="ad"/>
        <w:numPr>
          <w:ilvl w:val="0"/>
          <w:numId w:val="1"/>
        </w:numPr>
        <w:bidi/>
        <w:spacing w:line="360" w:lineRule="auto"/>
        <w:ind w:left="360"/>
        <w:jc w:val="both"/>
        <w:rPr>
          <w:rFonts w:cs="David"/>
          <w:sz w:val="24"/>
          <w:szCs w:val="24"/>
          <w:u w:val="single"/>
          <w:rtl/>
        </w:rPr>
      </w:pPr>
      <w:r>
        <w:rPr>
          <w:rFonts w:cs="David"/>
          <w:sz w:val="24"/>
          <w:szCs w:val="24"/>
          <w:rtl/>
        </w:rPr>
        <w:t>כאמור על בית</w:t>
      </w:r>
      <w:r>
        <w:rPr>
          <w:rFonts w:cs="David"/>
          <w:position w:val="4"/>
          <w:sz w:val="24"/>
          <w:szCs w:val="24"/>
          <w:rtl/>
        </w:rPr>
        <w:t>-</w:t>
      </w:r>
      <w:r>
        <w:rPr>
          <w:rFonts w:cs="David"/>
          <w:sz w:val="24"/>
          <w:szCs w:val="24"/>
          <w:rtl/>
        </w:rPr>
        <w:t xml:space="preserve">המשפט לשקול מחד את זכותו של המערער כי יינתן לו יומו בבית המפשט ומאידך להבטיח את תשלום הוצאות המשיבה ככל והערעור יידחה. </w:t>
      </w:r>
    </w:p>
    <w:p w:rsidR="003577DE" w:rsidRDefault="003577DE" w:rsidP="009B4B04">
      <w:pPr>
        <w:spacing w:line="360" w:lineRule="auto"/>
        <w:jc w:val="both"/>
        <w:rPr>
          <w:u w:val="single"/>
          <w:rtl/>
        </w:rPr>
      </w:pPr>
    </w:p>
    <w:p w:rsidR="003577DE" w:rsidRDefault="003577DE" w:rsidP="009B4B04">
      <w:pPr>
        <w:spacing w:line="360" w:lineRule="auto"/>
        <w:jc w:val="both"/>
        <w:rPr>
          <w:u w:val="single"/>
          <w:rtl/>
        </w:rPr>
      </w:pPr>
    </w:p>
    <w:p w:rsidR="009B4B04" w:rsidRDefault="009B4B04" w:rsidP="009B4B04">
      <w:pPr>
        <w:spacing w:line="360" w:lineRule="auto"/>
        <w:jc w:val="both"/>
        <w:rPr>
          <w:u w:val="single"/>
        </w:rPr>
      </w:pPr>
      <w:r>
        <w:rPr>
          <w:u w:val="single"/>
          <w:rtl/>
        </w:rPr>
        <w:lastRenderedPageBreak/>
        <w:t>סיכויי הערעור</w:t>
      </w: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לאחר שעיינתי בכתבי הטענות על פניו נראה כי סיכויי הערעור אינם גבוהים, אם כי תינתן לצדדים הזדמנות לטעון טענותיהם בדיון ולהבהיר עמדתם.</w:t>
      </w:r>
    </w:p>
    <w:p w:rsidR="003577DE" w:rsidRDefault="003577DE" w:rsidP="003577DE">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u w:val="single"/>
        </w:rPr>
      </w:pPr>
      <w:r>
        <w:rPr>
          <w:rFonts w:cs="David"/>
          <w:sz w:val="24"/>
          <w:szCs w:val="24"/>
          <w:rtl/>
        </w:rPr>
        <w:t>המשיבה הגישה ביום 4.6.24 ללשכת ההוצאה לפועל בקשה להגדלת חוב המזונות ע"ס של 51,000 ₪ בגין חוב מזונות (נספח 6 בבקשת המערער). המשיבה טענה כי תיק המזונות נפתח בהוצאה לפועל ותיק כספי לא אושר לפתיחה במועדו, על כן פנתה בבקשה למתן פסיקתא בבית הדין הרבני בכדי ניתן יהיה לבצע את פסק הדין בעניין חיוב הכתובה דרך ההוצאה לפועל.</w:t>
      </w:r>
    </w:p>
    <w:p w:rsidR="003577DE" w:rsidRDefault="003577DE" w:rsidP="003577DE">
      <w:pPr>
        <w:pStyle w:val="ad"/>
        <w:bidi/>
        <w:spacing w:line="360" w:lineRule="auto"/>
        <w:jc w:val="both"/>
        <w:rPr>
          <w:rFonts w:cs="David"/>
          <w:sz w:val="24"/>
          <w:szCs w:val="24"/>
          <w:u w:val="single"/>
        </w:rPr>
      </w:pPr>
    </w:p>
    <w:p w:rsidR="009B4B04" w:rsidRDefault="009B4B04" w:rsidP="009B4B04">
      <w:pPr>
        <w:pStyle w:val="ad"/>
        <w:numPr>
          <w:ilvl w:val="0"/>
          <w:numId w:val="1"/>
        </w:numPr>
        <w:bidi/>
        <w:spacing w:line="360" w:lineRule="auto"/>
        <w:jc w:val="both"/>
        <w:rPr>
          <w:rFonts w:cs="David"/>
          <w:sz w:val="24"/>
          <w:szCs w:val="24"/>
          <w:u w:val="single"/>
        </w:rPr>
      </w:pPr>
      <w:r>
        <w:rPr>
          <w:rFonts w:cs="David"/>
          <w:sz w:val="24"/>
          <w:szCs w:val="24"/>
          <w:rtl/>
        </w:rPr>
        <w:t>כן טענה המשיבה</w:t>
      </w:r>
      <w:r w:rsidR="003577DE">
        <w:rPr>
          <w:rFonts w:cs="David" w:hint="cs"/>
          <w:sz w:val="24"/>
          <w:szCs w:val="24"/>
          <w:rtl/>
        </w:rPr>
        <w:t>,</w:t>
      </w:r>
      <w:r>
        <w:rPr>
          <w:rFonts w:cs="David"/>
          <w:sz w:val="24"/>
          <w:szCs w:val="24"/>
          <w:rtl/>
        </w:rPr>
        <w:t xml:space="preserve"> כי לאחר דיונים בית הדין החליט לראות בחלק מהתשלומים ששולמו במסגרת חוב המזונות ככאלו ששולמו על חשבון חוב הכספי בגין חיוב הכתובה. ועל כן יש להגדיל את חוב המזונות בגובה הסכום לגביו קבע בית הדין הרבני כי שולם על חשבון החוב הכספי, שכן לא ייתכן שאותו תשלום יקוזז הן מהחוב הכספי והן מחוב המזונות.</w:t>
      </w:r>
    </w:p>
    <w:p w:rsidR="007F5273" w:rsidRDefault="007F5273" w:rsidP="007F5273">
      <w:pPr>
        <w:pStyle w:val="ad"/>
        <w:bidi/>
        <w:spacing w:line="360" w:lineRule="auto"/>
        <w:jc w:val="both"/>
        <w:rPr>
          <w:rFonts w:cs="David"/>
          <w:sz w:val="24"/>
          <w:szCs w:val="24"/>
          <w:u w:val="single"/>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רשמת הוצל"פ קבעה כי חובו הכספי של המערער בהתאם להחלטת בית הדין הרבני מיום 26.04.17 עמד על סך של 80,000 ₪, וכי בית הדין הרבני קבע כי מתוך חוב זה סך של  52,000 ₪ הועברו למשיבה מחשבונו הפרטי של המערער והיתר שולם במסגרת חוב המזונות. כן קבע בית הדין הרבני כי המערער שילם את מלוא חוב הכתובה שהוטל עליו.</w:t>
      </w:r>
    </w:p>
    <w:p w:rsidR="007F5273" w:rsidRDefault="007F5273" w:rsidP="007F5273">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מכאן קבעה כב' הרשמת כי מאחר יתרת החוב (מעבר לסכום ששילם המערער מחשבונו הפרטי) בסך של 28,000 ₪ ששילם המערער במסגרת תיק המזונות נזקפו על חשבון חוב הכתובה, יש להגדיל את חוב המזונות בסכום זה. על פניו נראה כי החלטה זו מיישמת כראוי את החלטת בית הדין הרבני.</w:t>
      </w:r>
    </w:p>
    <w:p w:rsidR="009B4B04" w:rsidRDefault="009B4B04" w:rsidP="009B4B04">
      <w:pPr>
        <w:spacing w:line="360" w:lineRule="auto"/>
        <w:ind w:left="360"/>
        <w:jc w:val="both"/>
        <w:rPr>
          <w:u w:val="single"/>
        </w:rPr>
      </w:pPr>
      <w:r>
        <w:rPr>
          <w:u w:val="single"/>
          <w:rtl/>
        </w:rPr>
        <w:t>העדר יכולת כלכלית</w:t>
      </w: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 xml:space="preserve">המערער הגיש תלושי שכר על מנת להוכיח שהוא נעדר יכולת כלכלית. בחודש 9/24 עמד שכרו על סך של 16,900 ₪ ברוטו והסכום שהופקד לבנק לאחר קיזוז ניכויי חובה, מפרעות ומקדמות עמד על סך של 7,711 ₪ על משכורת זו הוטל עיקול בגין אי תשלום מזונות בסך של </w:t>
      </w:r>
      <w:r>
        <w:rPr>
          <w:rFonts w:cs="David"/>
          <w:sz w:val="24"/>
          <w:szCs w:val="24"/>
          <w:rtl/>
        </w:rPr>
        <w:lastRenderedPageBreak/>
        <w:t xml:space="preserve">5,125 ₪. אמנם למבקש נותר סך של כ – 2,500 ₪, אך העיקול נוצר בגין אי תשלום מזונות </w:t>
      </w:r>
      <w:proofErr w:type="spellStart"/>
      <w:r>
        <w:rPr>
          <w:rFonts w:cs="David"/>
          <w:sz w:val="24"/>
          <w:szCs w:val="24"/>
          <w:rtl/>
        </w:rPr>
        <w:t>מצידו</w:t>
      </w:r>
      <w:proofErr w:type="spellEnd"/>
      <w:r>
        <w:rPr>
          <w:rFonts w:cs="David"/>
          <w:sz w:val="24"/>
          <w:szCs w:val="24"/>
          <w:rtl/>
        </w:rPr>
        <w:t>.</w:t>
      </w:r>
    </w:p>
    <w:p w:rsidR="007F5273" w:rsidRDefault="007F5273" w:rsidP="007F5273">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המשיבה מצידה נושאת בכל נטל גידול הקטינים ונאלצת לנהל הליכי הוצל"פ כנגד המערער ולשאת בהוצאות ייצוג משפטי.</w:t>
      </w:r>
    </w:p>
    <w:p w:rsidR="007F5273" w:rsidRDefault="007F5273" w:rsidP="007F5273">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בנסיבות המתוארות בו יש לאפשר למבקש גישה לערכאות ומצד שני להבטיח את הוצאות המשיבה אני קובעת כי גובה הערובה יעמוד על סך של 2,000 ₪ ועל המערער להפקידו בתוך 7 ימים מהיום.</w:t>
      </w:r>
    </w:p>
    <w:p w:rsidR="007F5273" w:rsidRDefault="007F5273" w:rsidP="007F5273">
      <w:pPr>
        <w:pStyle w:val="ad"/>
        <w:bidi/>
        <w:spacing w:line="360" w:lineRule="auto"/>
        <w:jc w:val="both"/>
        <w:rPr>
          <w:rFonts w:cs="David"/>
          <w:sz w:val="24"/>
          <w:szCs w:val="24"/>
        </w:rPr>
      </w:pPr>
    </w:p>
    <w:p w:rsidR="009B4B04" w:rsidRDefault="009B4B04" w:rsidP="009B4B04">
      <w:pPr>
        <w:pStyle w:val="ad"/>
        <w:numPr>
          <w:ilvl w:val="0"/>
          <w:numId w:val="1"/>
        </w:numPr>
        <w:bidi/>
        <w:spacing w:line="360" w:lineRule="auto"/>
        <w:jc w:val="both"/>
        <w:rPr>
          <w:rFonts w:cs="David"/>
          <w:sz w:val="24"/>
          <w:szCs w:val="24"/>
        </w:rPr>
      </w:pPr>
      <w:r>
        <w:rPr>
          <w:rFonts w:cs="David"/>
          <w:sz w:val="24"/>
          <w:szCs w:val="24"/>
          <w:rtl/>
        </w:rPr>
        <w:t>ככל והסכום לא יופקד הערעור יימחק והתיק ייסגר.</w:t>
      </w:r>
    </w:p>
    <w:p w:rsidR="009B4B04" w:rsidRDefault="009B4B04" w:rsidP="009B4B04">
      <w:pPr>
        <w:spacing w:line="360" w:lineRule="auto"/>
        <w:jc w:val="both"/>
      </w:pPr>
      <w:r>
        <w:rPr>
          <w:rtl/>
        </w:rPr>
        <w:t>ת.מ.</w:t>
      </w:r>
    </w:p>
    <w:p w:rsidR="009B4B04" w:rsidRDefault="009B4B04" w:rsidP="009B4B04">
      <w:pPr>
        <w:spacing w:line="360" w:lineRule="auto"/>
        <w:jc w:val="both"/>
        <w:rPr>
          <w:b/>
          <w:bCs/>
          <w:u w:val="single"/>
        </w:rPr>
      </w:pPr>
      <w:r>
        <w:rPr>
          <w:b/>
          <w:bCs/>
          <w:u w:val="single"/>
          <w:rtl/>
        </w:rPr>
        <w:t>המזכירות תודיע לצדדים.</w:t>
      </w:r>
    </w:p>
    <w:p w:rsidR="00694556" w:rsidRPr="009B4B04" w:rsidRDefault="00694556">
      <w:pPr>
        <w:spacing w:line="360" w:lineRule="auto"/>
        <w:jc w:val="both"/>
        <w:rPr>
          <w:rFonts w:ascii="Arial" w:hAnsi="Arial"/>
          <w:noProof w:val="0"/>
          <w:rtl/>
        </w:rPr>
      </w:pPr>
    </w:p>
    <w:p w:rsidR="00694556" w:rsidRPr="007F5273" w:rsidRDefault="007F5273" w:rsidP="007F5273">
      <w:pPr>
        <w:spacing w:line="360" w:lineRule="auto"/>
        <w:jc w:val="both"/>
        <w:rPr>
          <w:rFonts w:ascii="Arial" w:hAnsi="Arial"/>
          <w:b/>
          <w:bCs/>
          <w:noProof w:val="0"/>
          <w:rtl/>
        </w:rPr>
      </w:pPr>
      <w:r>
        <w:rPr>
          <w:rFonts w:ascii="Arial" w:hAnsi="Arial" w:hint="cs"/>
          <w:b/>
          <w:bCs/>
          <w:noProof w:val="0"/>
          <w:rtl/>
        </w:rPr>
        <w:t>ההחלטה</w:t>
      </w:r>
      <w:r w:rsidRPr="007F5273">
        <w:rPr>
          <w:rFonts w:ascii="Arial" w:hAnsi="Arial" w:hint="cs"/>
          <w:b/>
          <w:bCs/>
          <w:noProof w:val="0"/>
          <w:rtl/>
        </w:rPr>
        <w:t xml:space="preserve"> מותר</w:t>
      </w:r>
      <w:r>
        <w:rPr>
          <w:rFonts w:ascii="Arial" w:hAnsi="Arial" w:hint="cs"/>
          <w:b/>
          <w:bCs/>
          <w:noProof w:val="0"/>
          <w:rtl/>
        </w:rPr>
        <w:t>ת</w:t>
      </w:r>
      <w:r w:rsidRPr="007F5273">
        <w:rPr>
          <w:rFonts w:ascii="Arial" w:hAnsi="Arial" w:hint="cs"/>
          <w:b/>
          <w:bCs/>
          <w:noProof w:val="0"/>
          <w:rtl/>
        </w:rPr>
        <w:t xml:space="preserve"> בפרסום בהשמטת פרטים מזהים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C43648" w:rsidRDefault="0014791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56510535"/>
        </w:sdtPr>
        <w:sdtEndPr/>
        <w:sdtContent>
          <w:r w:rsidR="008E3663">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7"/>
      <w:headerReference w:type="default" r:id="rId18"/>
      <w:footerReference w:type="even" r:id="rId19"/>
      <w:footerReference w:type="default" r:id="rId20"/>
      <w:headerReference w:type="first" r:id="rId21"/>
      <w:footerReference w:type="first" r:id="rId2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19" w:rsidRDefault="0014791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4791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47919">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19" w:rsidRDefault="001479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19" w:rsidRDefault="0014791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47919" w:rsidP="000A53B2">
          <w:pPr>
            <w:rPr>
              <w:b/>
              <w:bCs/>
              <w:noProof w:val="0"/>
              <w:sz w:val="26"/>
              <w:szCs w:val="26"/>
              <w:rtl/>
            </w:rPr>
          </w:pPr>
          <w:sdt>
            <w:sdtPr>
              <w:rPr>
                <w:rtl/>
              </w:rPr>
              <w:alias w:val="1170"/>
              <w:tag w:val="1170"/>
              <w:id w:val="1066377040"/>
              <w:text w:multiLine="1"/>
            </w:sdtPr>
            <w:sdtEndPr/>
            <w:sdtContent>
              <w:proofErr w:type="spellStart"/>
              <w:r w:rsidR="00917E8D">
                <w:rPr>
                  <w:b/>
                  <w:bCs/>
                  <w:noProof w:val="0"/>
                  <w:sz w:val="26"/>
                  <w:szCs w:val="26"/>
                  <w:rtl/>
                </w:rPr>
                <w:t>ע"ר</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917E8D">
                <w:rPr>
                  <w:b/>
                  <w:bCs/>
                  <w:noProof w:val="0"/>
                  <w:sz w:val="26"/>
                  <w:szCs w:val="26"/>
                  <w:rtl/>
                </w:rPr>
                <w:t>27419-09-24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A53B2">
                <w:rPr>
                  <w:rFonts w:hint="cs"/>
                  <w:b/>
                  <w:bCs/>
                  <w:noProof w:val="0"/>
                  <w:sz w:val="26"/>
                  <w:szCs w:val="26"/>
                  <w:rtl/>
                </w:rPr>
                <w:t>מ.</w:t>
              </w:r>
              <w:r w:rsidR="00917E8D">
                <w:rPr>
                  <w:b/>
                  <w:bCs/>
                  <w:noProof w:val="0"/>
                  <w:sz w:val="26"/>
                  <w:szCs w:val="26"/>
                  <w:rtl/>
                </w:rPr>
                <w:t xml:space="preserve"> נ' </w:t>
              </w:r>
              <w:r w:rsidR="000A53B2">
                <w:rPr>
                  <w:rFonts w:hint="cs"/>
                  <w:b/>
                  <w:bCs/>
                  <w:noProof w:val="0"/>
                  <w:sz w:val="26"/>
                  <w:szCs w:val="26"/>
                  <w:rtl/>
                </w:rPr>
                <w:t>מ.</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19" w:rsidRDefault="001479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E0892"/>
    <w:multiLevelType w:val="hybridMultilevel"/>
    <w:tmpl w:val="22B27B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hdrShapeDefaults>
    <o:shapedefaults v:ext="edit" spidmax="199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492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49239&amp;lt;/CaseID&amp;gt;_x000d__x000a_        &amp;lt;CaseMonth&amp;gt;9&amp;lt;/CaseMonth&amp;gt;_x000d__x000a_        &amp;lt;CaseYear&amp;gt;2024&amp;lt;/CaseYear&amp;gt;_x000d__x000a_        &amp;lt;CaseNumber&amp;gt;27419&amp;lt;/CaseNumber&amp;gt;_x000d__x000a_        &amp;lt;NumeratorGroupID&amp;gt;1&amp;lt;/NumeratorGroupID&amp;gt;_x000d__x000a_        &amp;lt;CaseName&amp;gt;מקונן נ&amp;#39; מקונן&amp;lt;/CaseName&amp;gt;_x000d__x000a_        &amp;lt;CourtID&amp;gt;25&amp;lt;/CourtID&amp;gt;_x000d__x000a_        &amp;lt;CaseTypeID&amp;gt;10038&amp;lt;/CaseTypeID&amp;gt;_x000d__x000a_        &amp;lt;CaseInterestID&amp;gt;14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419-09-24&amp;lt;/CaseDisplayIdentifier&amp;gt;_x000d__x000a_        &amp;lt;CaseTypeDesc&amp;gt;ע&amp;quot;ר&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9-10T12:4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49239&amp;lt;/CaseID&amp;gt;_x000d__x000a_        &amp;lt;CaseMonth&amp;gt;9&amp;lt;/CaseMonth&amp;gt;_x000d__x000a_        &amp;lt;CaseYear&amp;gt;2024&amp;lt;/CaseYear&amp;gt;_x000d__x000a_        &amp;lt;CaseNumber&amp;gt;27419&amp;lt;/CaseNumber&amp;gt;_x000d__x000a_        &amp;lt;NumeratorGroupID&amp;gt;1&amp;lt;/NumeratorGroupID&amp;gt;_x000d__x000a_        &amp;lt;CaseName&amp;gt;מקונן נ&amp;#39; מקונן&amp;lt;/CaseName&amp;gt;_x000d__x000a_        &amp;lt;CourtID&amp;gt;25&amp;lt;/CourtID&amp;gt;_x000d__x000a_        &amp;lt;CaseTypeID&amp;gt;10038&amp;lt;/CaseTypeID&amp;gt;_x000d__x000a_        &amp;lt;CaseInterestID&amp;gt;14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419-09-24&amp;lt;/CaseDisplayIdentifier&amp;gt;_x000d__x000a_        &amp;lt;CaseTypeDesc&amp;gt;ע&amp;quot;ר&amp;lt;/CaseTypeDesc&amp;gt;_x000d__x000a_        &amp;lt;CourtDesc&amp;gt;שלום קריות&amp;lt;/CourtDesc&amp;gt;_x000d__x000a_        &amp;lt;CaseStageDesc&amp;gt;תיק אלקטרוני&amp;lt;/CaseStageDesc&amp;gt;_x000d__x000a_        &amp;lt;CaseNextDeterminingTask&amp;gt;151&amp;lt;/CaseNextDeterminingTask&amp;gt;_x000d__x000a_        &amp;lt;CaseOpenDate&amp;gt;2024-09-10T12:4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98130&amp;lt;/DecisionID&amp;gt;_x000d__x000a_        &amp;lt;DecisionName&amp;gt;החלטה  שניתנה ע&amp;quot;י  שירי היימן&amp;lt;/DecisionName&amp;gt;_x000d__x000a_        &amp;lt;DecisionStatusID&amp;gt;1&amp;lt;/DecisionStatusID&amp;gt;_x000d__x000a_        &amp;lt;DecisionStatusChangeDate&amp;gt;2024-11-04T10:27:10.427+02:00&amp;lt;/DecisionStatusChangeDate&amp;gt;_x000d__x000a_        &amp;lt;DecisionSignatureDate&amp;gt;2024-11-04T10:27:08.413+02:00&amp;lt;/DecisionSignatureDate&amp;gt;_x000d__x000a_        &amp;lt;DecisionSignatureUserID&amp;gt;058748633@GOV.IL&amp;lt;/DecisionSignatureUserID&amp;gt;_x000d__x000a_        &amp;lt;DecisionCreateDate&amp;gt;2024-11-04T10:05:41.633+02:00&amp;lt;/DecisionCreateDate&amp;gt;_x000d__x000a_        &amp;lt;DecisionChangeDate&amp;gt;2024-11-04T10:27:10.51+02:00&amp;lt;/DecisionChangeDate&amp;gt;_x000d__x000a_        &amp;lt;DecisionChangeUserID&amp;gt;0252503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4012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החלטה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5798130&amp;lt;/DecisionID&amp;gt;_x000d__x000a_        &amp;lt;CaseID&amp;gt;81949239&amp;lt;/CaseID&amp;gt;_x000d__x000a_        &amp;lt;IsOriginal&amp;gt;true&amp;lt;/IsOriginal&amp;gt;_x000d__x000a_        &amp;lt;IsDeleted&amp;gt;false&amp;lt;/IsDeleted&amp;gt;_x000d__x000a_        &amp;lt;CaseName&amp;gt;מקונן נ&amp;#39; מקונן&amp;lt;/CaseName&amp;gt;_x000d__x000a_        &amp;lt;CaseDisplayIdentifier&amp;gt;27419-09-24 ע&amp;quot;ר&amp;lt;/CaseDisplayIdentifier&amp;gt;_x000d__x000a_      &amp;lt;/dt_DecisionCase&amp;gt;_x000d__x000a_    &amp;lt;/DecisionDS&amp;gt;_x000d__x000a_  &amp;lt;/diffgr:diffgram&amp;gt;_x000d__x000a_&amp;lt;/DecisionDS&amp;gt;"/>
    <w:docVar w:name="DecisionID" w:val="155798130"/>
    <w:docVar w:name="WordClientAssemblyName" w:val="NGCS.Decision.ClientWordBL"/>
    <w:docVar w:name="WordClientClassName" w:val="NGCS.Decision.ClientWordBL.DecisionClient"/>
  </w:docVars>
  <w:rsids>
    <w:rsidRoot w:val="00694556"/>
    <w:rsid w:val="00000062"/>
    <w:rsid w:val="0000226B"/>
    <w:rsid w:val="00005C8B"/>
    <w:rsid w:val="00024FD2"/>
    <w:rsid w:val="000529D2"/>
    <w:rsid w:val="000564AB"/>
    <w:rsid w:val="00064FBD"/>
    <w:rsid w:val="00082AB2"/>
    <w:rsid w:val="000906FE"/>
    <w:rsid w:val="00096AF7"/>
    <w:rsid w:val="000A244A"/>
    <w:rsid w:val="000A53B2"/>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47919"/>
    <w:rsid w:val="00180519"/>
    <w:rsid w:val="00191C82"/>
    <w:rsid w:val="001C4003"/>
    <w:rsid w:val="001D4DBF"/>
    <w:rsid w:val="001E75CA"/>
    <w:rsid w:val="002265FF"/>
    <w:rsid w:val="00234943"/>
    <w:rsid w:val="00271B56"/>
    <w:rsid w:val="002C344E"/>
    <w:rsid w:val="002E75E9"/>
    <w:rsid w:val="00307A6A"/>
    <w:rsid w:val="00307C40"/>
    <w:rsid w:val="00320433"/>
    <w:rsid w:val="003230C7"/>
    <w:rsid w:val="00327E50"/>
    <w:rsid w:val="0033597A"/>
    <w:rsid w:val="00343D89"/>
    <w:rsid w:val="003577DE"/>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6455F"/>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7F5273"/>
    <w:rsid w:val="00814468"/>
    <w:rsid w:val="008176A1"/>
    <w:rsid w:val="00820005"/>
    <w:rsid w:val="00833E7B"/>
    <w:rsid w:val="00844318"/>
    <w:rsid w:val="0086061C"/>
    <w:rsid w:val="00863F5D"/>
    <w:rsid w:val="00870890"/>
    <w:rsid w:val="00873602"/>
    <w:rsid w:val="00875D12"/>
    <w:rsid w:val="00881CCE"/>
    <w:rsid w:val="0088479D"/>
    <w:rsid w:val="00896889"/>
    <w:rsid w:val="008C5714"/>
    <w:rsid w:val="008D10B2"/>
    <w:rsid w:val="008E3663"/>
    <w:rsid w:val="00903896"/>
    <w:rsid w:val="00906F3D"/>
    <w:rsid w:val="00917E8D"/>
    <w:rsid w:val="0094424E"/>
    <w:rsid w:val="00955642"/>
    <w:rsid w:val="009622DF"/>
    <w:rsid w:val="0096493F"/>
    <w:rsid w:val="00967DFF"/>
    <w:rsid w:val="00982BE4"/>
    <w:rsid w:val="00994341"/>
    <w:rsid w:val="009B4B04"/>
    <w:rsid w:val="009D1A48"/>
    <w:rsid w:val="009E1CE7"/>
    <w:rsid w:val="009E4EA5"/>
    <w:rsid w:val="009F164B"/>
    <w:rsid w:val="009F323C"/>
    <w:rsid w:val="00A3392B"/>
    <w:rsid w:val="00A85E34"/>
    <w:rsid w:val="00A94B64"/>
    <w:rsid w:val="00AA3229"/>
    <w:rsid w:val="00AA7596"/>
    <w:rsid w:val="00AB5E52"/>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1B16"/>
    <w:rsid w:val="00BD6531"/>
    <w:rsid w:val="00BE05B2"/>
    <w:rsid w:val="00BF1908"/>
    <w:rsid w:val="00C20BFB"/>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218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9B4B04"/>
    <w:rPr>
      <w:color w:val="0000FF"/>
      <w:u w:val="single"/>
    </w:rPr>
  </w:style>
  <w:style w:type="paragraph" w:styleId="ad">
    <w:name w:val="List Paragraph"/>
    <w:basedOn w:val="a"/>
    <w:uiPriority w:val="34"/>
    <w:qFormat/>
    <w:rsid w:val="009B4B04"/>
    <w:pPr>
      <w:bidi w:val="0"/>
      <w:spacing w:before="240" w:after="240" w:line="256" w:lineRule="auto"/>
      <w:ind w:left="720"/>
      <w:contextualSpacing/>
    </w:pPr>
    <w:rPr>
      <w:rFonts w:asciiTheme="minorHAnsi" w:eastAsiaTheme="minorHAnsi" w:hAnsiTheme="minorHAnsi" w:cstheme="minorBidi"/>
      <w:noProof w:val="0"/>
      <w:sz w:val="22"/>
      <w:szCs w:val="22"/>
    </w:rPr>
  </w:style>
  <w:style w:type="paragraph" w:customStyle="1" w:styleId="ae">
    <w:name w:val="כללי"/>
    <w:basedOn w:val="a"/>
    <w:rsid w:val="009B4B04"/>
    <w:pPr>
      <w:overflowPunct w:val="0"/>
      <w:autoSpaceDE w:val="0"/>
      <w:autoSpaceDN w:val="0"/>
      <w:adjustRightInd w:val="0"/>
      <w:spacing w:after="240" w:line="280" w:lineRule="exact"/>
      <w:ind w:firstLine="284"/>
      <w:jc w:val="both"/>
    </w:pPr>
    <w:rPr>
      <w:rFonts w:cs="FrankRuehl"/>
      <w:noProof w:val="0"/>
      <w:sz w:val="20"/>
      <w:lang w:eastAsia="he-IL"/>
    </w:rPr>
  </w:style>
  <w:style w:type="character" w:customStyle="1" w:styleId="default">
    <w:name w:val="default"/>
    <w:basedOn w:val="a0"/>
    <w:rsid w:val="009B4B04"/>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1203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083216"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5820895"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880/519"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law/74880/519.a" TargetMode="External"/><Relationship Id="rId23" Type="http://schemas.openxmlformats.org/officeDocument/2006/relationships/fontTable" Target="fontTable.xml"/><Relationship Id="rId10" Type="http://schemas.openxmlformats.org/officeDocument/2006/relationships/hyperlink" Target="http://www.nevo.co.il/law/74880/519"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047307"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F4FAF" w:rsidP="00BF4FAF">
          <w:pPr>
            <w:pStyle w:val="E460D38E05664FF79D4EFF282EF8EC9923"/>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745AE"/>
    <w:rsid w:val="0048651F"/>
    <w:rsid w:val="005157ED"/>
    <w:rsid w:val="00556D67"/>
    <w:rsid w:val="00793995"/>
    <w:rsid w:val="007C6F98"/>
    <w:rsid w:val="007E254A"/>
    <w:rsid w:val="0086433F"/>
    <w:rsid w:val="008B4366"/>
    <w:rsid w:val="009133C7"/>
    <w:rsid w:val="009178E4"/>
    <w:rsid w:val="00961B27"/>
    <w:rsid w:val="00AA7CE3"/>
    <w:rsid w:val="00B42D7E"/>
    <w:rsid w:val="00B91FA3"/>
    <w:rsid w:val="00BE6557"/>
    <w:rsid w:val="00BF4FAF"/>
    <w:rsid w:val="00C96C06"/>
    <w:rsid w:val="00E31BF6"/>
    <w:rsid w:val="00E81DB1"/>
    <w:rsid w:val="00EE3F7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F4FA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F4FA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שרה- שלומית סטרוגנו</FullName>
        <FirstName>שרה- שלומית</FirstName>
        <LastName>סטרוגנו</LastName>
        <PartyPropertyName/>
        <AuthenticationTypeAndNumber>מ.ר. 42623</AuthenticationTypeAndNumber>
        <RepresentatedOrRepresentativesNames>ישלם שני מקונן</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278450838</CasePartyID>
        <PartyTypeID>2</PartyTypeID>
        <ActivityStatusID>1</ActivityStatusID>
        <PartyAliasID>23</PartyAliasID>
        <PartyAliasName>בא כוח משיבים</PartyAliasName>
        <LegalEntityID>418789</LegalEntityID>
        <CaseLegalEntityID>132575984</CaseLegalEntityID>
        <AuthenticationTypeID>4</AuthenticationTypeID>
        <AuthenticationTypeName>מ.ר.</AuthenticationTypeName>
        <LegalEntityNumber>42623</LegalEntityNumber>
        <IsMainPartyType>true</IsMainPartyType>
        <CaseDisplayIdentifier>27419-09-24</CaseDisplayIdentifier>
        <CaseTypeID>10038</CaseTypeID>
        <CaseTypeName>ערעור על החלטת רשם (ע"ר)</CaseTypeName>
        <CaseName>מקונן נ' מקונן</CaseName>
        <FullAddress>אח"י אילת 8/8 קריית חיים </FullAddress>
        <EmailAddress>str_law@easyget.co.il</EmailAddress>
        <MotionID>0</MotionID>
        <CasePleaID>0</CasePleaID>
        <LinkedCaseID>0</LinkedCaseID>
        <PartyID>2</PartyID>
        <CasePartyCategoryID>2</CasePartyCategoryID>
        <LegalEntityAddressID>87378915</LegalEntityAddressID>
        <LegalEntityEmailAddressID>67958409</LegalEntityEmailAddressID>
        <PleaTypeID>6</PleaTypeID>
        <LawyerOfficeName>משרד עו"ד: שרה-שלומית סטרוגנו</LawyerOfficeName>
        <LawyerOfficeID>459433</LawyerOfficeID>
        <GroupPartyAlias/>
        <IsConverted>false</IsConverted>
        <LegalEntityNameID>39773</LegalEntityNameID>
        <RepresentatedNamesOfAssistant/>
        <LegalEntityTypeID>4</LegalEntityTypeID>
        <IsVerdictExists>false</IsVerdictExists>
        <IsAsirAzir>false</IsAsirAzir>
        <MainAndSecSpec/>
        <IsPublicationProhibited>false</IsPublicationProhibited>
        <PublicationProhibitedFullName>שרה- שלומית סטרוגנו</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בלצה קובי מקונן</FullName>
        <FirstName>בלצה קובי</FirstName>
        <LastName>מקונן</LastName>
        <PartyPropertyName/>
        <AuthenticationTypeAndNumber>ת"ז 301937124</AuthenticationTypeAndNumber>
        <RepresentatedOrRepresentativesNames>אריאל יום טוביאן</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277273643</CasePartyID>
        <PartyTypeID>1</PartyTypeID>
        <ActivityStatusID>1</ActivityStatusID>
        <PartyAliasID>5</PartyAliasID>
        <PartyAliasName>מערער</PartyAliasName>
        <OrdinalNumber>1</OrdinalNumber>
        <LegalEntityID>6243025</LegalEntityID>
        <CaseLegalEntityID>132201533</CaseLegalEntityID>
        <AuthenticationTypeID>1</AuthenticationTypeID>
        <AuthenticationTypeName>ת"ז</AuthenticationTypeName>
        <LegalEntityNumber>301937124</LegalEntityNumber>
        <IsMainPartyType>true</IsMainPartyType>
        <CaseDisplayIdentifier>27419-09-24</CaseDisplayIdentifier>
        <CaseTypeID>10038</CaseTypeID>
        <CaseTypeName>ערעור על החלטת רשם (ע"ר)</CaseTypeName>
        <CaseName>מקונן נ' מקונן</CaseName>
        <FullAddress>אסתר המלכה 22/8 חיפה </FullAddress>
        <MotionID>0</MotionID>
        <CasePleaID>0</CasePleaID>
        <FatherName>זאודו</FatherName>
        <LinkedCaseID>0</LinkedCaseID>
        <PartyID>1</PartyID>
        <CasePartyCategoryID>2</CasePartyCategoryID>
        <LegalEntityAddressID>90934278</LegalEntityAddressID>
        <PleaTypeID>6</PleaTypeID>
        <GroupPartyAlias>מערערים</GroupPartyAlias>
        <IsConverted>false</IsConverted>
        <LegalEntityRegisteredNameID>5813435</LegalEntityRegisteredNameID>
        <LegalEntityNameID>98190249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בלצה קובי מקונן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בלצה קובי מקונן</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277273644</CasePartyID>
        <PartyTypeID>2</PartyTypeID>
        <ActivityStatusID>1</ActivityStatusID>
        <PartyAliasID>24</PartyAliasID>
        <PartyAliasName>בא כוח מערערים</PartyAliasName>
        <OrdinalNumber>1</OrdinalNumber>
        <LegalEntityID>408725</LegalEntityID>
        <CaseLegalEntityID>132201534</CaseLegalEntityID>
        <AuthenticationTypeID>4</AuthenticationTypeID>
        <AuthenticationTypeName>מ.ר.</AuthenticationTypeName>
        <LegalEntityNumber>37384</LegalEntityNumber>
        <IsMainPartyType>true</IsMainPartyType>
        <CaseDisplayIdentifier>27419-09-24</CaseDisplayIdentifier>
        <CaseTypeID>10038</CaseTypeID>
        <CaseTypeName>ערעור על החלטת רשם (ע"ר)</CaseTypeName>
        <CaseName>מקונן נ' מקונן</CaseName>
        <FullAddress>פל ים 5 חיפה </FullAddress>
        <MotionID>0</MotionID>
        <CasePleaID>0</CasePleaID>
        <FatherName xml:space="preserve">        </FatherName>
        <LinkedCaseID>0</LinkedCaseID>
        <PartyID>1</PartyID>
        <CasePartyCategoryID>2</CasePartyCategoryID>
        <LegalEntityAddressID>81410499</LegalEntityAddressID>
        <PleaTypeID>6</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MainAndSecSpec/>
        <IsPublicationProhibited>false</IsPublicationProhibited>
        <PublicationProhibitedFullName>אריאל יום טוביאן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ישלם שני מקונן</FullName>
        <FirstName>ישלם שני</FirstName>
        <LastName>מקונן</LastName>
        <PartyPropertyName/>
        <AuthenticationTypeAndNumber>ת"ז 015930001</AuthenticationTypeAndNumber>
        <RepresentatedOrRepresentativesNames>שרה- שלומית סטרוגנו</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277273645</CasePartyID>
        <PartyTypeID>1</PartyTypeID>
        <ActivityStatusID>1</ActivityStatusID>
        <PartyAliasID>4</PartyAliasID>
        <PartyAliasName>משיב</PartyAliasName>
        <OrdinalNumber>1</OrdinalNumber>
        <LegalEntityID>75624229</LegalEntityID>
        <CaseLegalEntityID>132201535</CaseLegalEntityID>
        <AuthenticationTypeID>1</AuthenticationTypeID>
        <AuthenticationTypeName>ת"ז</AuthenticationTypeName>
        <LegalEntityNumber>015930001</LegalEntityNumber>
        <IsMainPartyType>true</IsMainPartyType>
        <CaseDisplayIdentifier>27419-09-24</CaseDisplayIdentifier>
        <CaseTypeID>10038</CaseTypeID>
        <CaseTypeName>ערעור על החלטת רשם (ע"ר)</CaseTypeName>
        <CaseName>מקונן נ' מקונן</CaseName>
        <FullAddress>זלמן שז"ר 20/5 קריית ים </FullAddress>
        <MotionID>0</MotionID>
        <CasePleaID>0</CasePleaID>
        <FatherName>סנדקו</FatherName>
        <LinkedCaseID>0</LinkedCaseID>
        <PartyID>2</PartyID>
        <CasePartyCategoryID>2</CasePartyCategoryID>
        <LegalEntityAddressID>90934279</LegalEntityAddressID>
        <PleaTypeID>6</PleaTypeID>
        <GroupPartyAlias>משיבים</GroupPartyAlias>
        <IsConverted>false</IsConverted>
        <LegalEntityRegisteredNameID>5813434</LegalEntityRegisteredNameID>
        <LegalEntityNameID>98190250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ישלם שני מקונן</PublicationProhibitedFullName>
      </CaseParties>
    </CasePartiesSelectionDS>
    <DecisionName>החלטה  שניתנה ע"י  שירי היימן</DecisionName>
    <CourtDisplayName>בית משפט לענייני משפחה בקריות</CourtDisplayName>
    <IsCaseJudgePanel>false</IsCaseJudgePanel>
    <DecisionSignatureDate>2024-11-04T10:00:09.6305271+02:00</DecisionSignatureDate>
    <OpenCaseDate>2024-09-10T12:43:00+03:00</OpenCaseDate>
    <CaseFeeSum>0.000</CaseFeeSum>
    <ExternalCaseNumber>508705-08-22</ExternalCaseNumber>
    <DecisionTypeID>1</DecisionTypeID>
    <DecisionSignatureUserName>שירי היימן</DecisionSignatureUserName>
    <DecisionSignatureDateHebrew>2024-11-04T10:00:09.6305271+02:00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מקונן נ' מקונן</CaseName>
    <DecisionNumberInCase>4</DecisionNumberInCase>
  </dt_Decision>
  <dt_DecisionCase>
    <DecisionID>0</DecisionID>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שרה- שלומית סטרוגנו</FullName>
        <FirstName>שרה- שלומית</FirstName>
        <LastName>סטרוגנו</LastName>
        <PartyPropertyName/>
        <AuthenticationTypeAndNumber>מ.ר. 42623</AuthenticationTypeAndNumber>
        <RepresentatedOrRepresentativesNames>ישלם שני מקונן</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278450838</CasePartyID>
        <PartyTypeID>2</PartyTypeID>
        <ActivityStatusID>1</ActivityStatusID>
        <PartyAliasID>23</PartyAliasID>
        <PartyAliasName>בא כוח משיבים</PartyAliasName>
        <LegalEntityID>418789</LegalEntityID>
        <CaseLegalEntityID>132575984</CaseLegalEntityID>
        <AuthenticationTypeID>4</AuthenticationTypeID>
        <AuthenticationTypeName>מ.ר.</AuthenticationTypeName>
        <LegalEntityNumber>42623</LegalEntityNumber>
        <IsMainPartyType>true</IsMainPartyType>
        <CaseDisplayIdentifier>27419-09-24</CaseDisplayIdentifier>
        <CaseTypeID>10038</CaseTypeID>
        <CaseTypeName>ערעור על החלטת רשם (ע"ר)</CaseTypeName>
        <CaseName>מקונן נ' מקונן</CaseName>
        <FullAddress>אח"י אילת 8/8 קריית חיים </FullAddress>
        <EmailAddress>str_law@easyget.co.il</EmailAddress>
        <MotionID>0</MotionID>
        <CasePleaID>0</CasePleaID>
        <LinkedCaseID>0</LinkedCaseID>
        <PartyID>2</PartyID>
        <CasePartyCategoryID>2</CasePartyCategoryID>
        <LegalEntityAddressID>87378915</LegalEntityAddressID>
        <LegalEntityEmailAddressID>67958409</LegalEntityEmailAddressID>
        <PleaTypeID>6</PleaTypeID>
        <LawyerOfficeName>משרד עו"ד: שרה-שלומית סטרוגנו</LawyerOfficeName>
        <LawyerOfficeID>459433</LawyerOfficeID>
        <GroupPartyAlias/>
        <IsConverted>false</IsConverted>
        <LegalEntityNameID>39773</LegalEntityNameID>
        <RepresentatedNamesOfAssistant/>
        <LegalEntityTypeID>4</LegalEntityTypeID>
        <IsVerdictExists>false</IsVerdictExists>
        <IsAsirAzir>false</IsAsirAzir>
        <MainAndSecSpec/>
        <IsPublicationProhibited>false</IsPublicationProhibited>
        <PublicationProhibitedFullName>שרה- שלומית סטרוגנו</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בלצה קובי מקונן</FullName>
        <FirstName>בלצה קובי</FirstName>
        <LastName>מקונן</LastName>
        <PartyPropertyName/>
        <AuthenticationTypeAndNumber>ת"ז 301937124</AuthenticationTypeAndNumber>
        <RepresentatedOrRepresentativesNames>אריאל יום טוביאן</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277273643</CasePartyID>
        <PartyTypeID>1</PartyTypeID>
        <ActivityStatusID>1</ActivityStatusID>
        <PartyAliasID>5</PartyAliasID>
        <PartyAliasName>מערער</PartyAliasName>
        <OrdinalNumber>1</OrdinalNumber>
        <LegalEntityID>6243025</LegalEntityID>
        <CaseLegalEntityID>132201533</CaseLegalEntityID>
        <AuthenticationTypeID>1</AuthenticationTypeID>
        <AuthenticationTypeName>ת"ז</AuthenticationTypeName>
        <LegalEntityNumber>301937124</LegalEntityNumber>
        <IsMainPartyType>true</IsMainPartyType>
        <CaseDisplayIdentifier>27419-09-24</CaseDisplayIdentifier>
        <CaseTypeID>10038</CaseTypeID>
        <CaseTypeName>ערעור על החלטת רשם (ע"ר)</CaseTypeName>
        <CaseName>מקונן נ' מקונן</CaseName>
        <FullAddress>אסתר המלכה 22/8 חיפה </FullAddress>
        <MotionID>0</MotionID>
        <CasePleaID>0</CasePleaID>
        <FatherName>זאודו</FatherName>
        <LinkedCaseID>0</LinkedCaseID>
        <PartyID>1</PartyID>
        <CasePartyCategoryID>2</CasePartyCategoryID>
        <LegalEntityAddressID>90934278</LegalEntityAddressID>
        <PleaTypeID>6</PleaTypeID>
        <GroupPartyAlias>מערערים</GroupPartyAlias>
        <IsConverted>false</IsConverted>
        <LegalEntityRegisteredNameID>5813435</LegalEntityRegisteredNameID>
        <LegalEntityNameID>98190249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בלצה קובי מקונן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בלצה קובי מקונן</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277273644</CasePartyID>
        <PartyTypeID>2</PartyTypeID>
        <ActivityStatusID>1</ActivityStatusID>
        <PartyAliasID>24</PartyAliasID>
        <PartyAliasName>בא כוח מערערים</PartyAliasName>
        <OrdinalNumber>1</OrdinalNumber>
        <LegalEntityID>408725</LegalEntityID>
        <CaseLegalEntityID>132201534</CaseLegalEntityID>
        <AuthenticationTypeID>4</AuthenticationTypeID>
        <AuthenticationTypeName>מ.ר.</AuthenticationTypeName>
        <LegalEntityNumber>37384</LegalEntityNumber>
        <IsMainPartyType>true</IsMainPartyType>
        <CaseDisplayIdentifier>27419-09-24</CaseDisplayIdentifier>
        <CaseTypeID>10038</CaseTypeID>
        <CaseTypeName>ערעור על החלטת רשם (ע"ר)</CaseTypeName>
        <CaseName>מקונן נ' מקונן</CaseName>
        <FullAddress>פל ים 5 חיפה </FullAddress>
        <MotionID>0</MotionID>
        <CasePleaID>0</CasePleaID>
        <FatherName xml:space="preserve">        </FatherName>
        <LinkedCaseID>0</LinkedCaseID>
        <PartyID>1</PartyID>
        <CasePartyCategoryID>2</CasePartyCategoryID>
        <LegalEntityAddressID>81410499</LegalEntityAddressID>
        <PleaTypeID>6</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MainAndSecSpec/>
        <IsPublicationProhibited>false</IsPublicationProhibited>
        <PublicationProhibitedFullName>אריאל יום טוביאן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ישלם שני מקונן</FullName>
        <FirstName>ישלם שני</FirstName>
        <LastName>מקונן</LastName>
        <PartyPropertyName/>
        <AuthenticationTypeAndNumber>ת"ז 015930001</AuthenticationTypeAndNumber>
        <RepresentatedOrRepresentativesNames>שרה- שלומית סטרוגנו</RepresentatedOrRepresentativesNames>
        <RepresentatedOrRepresentativesCount>1</RepresentatedOrRepresentativesCount>
        <InvitedBy/>
        <CaseID>81949239</CaseID>
        <CaseJudicialPersonPresentationDS>
          <CaseJudicalPersonActive>
            <CaseID>81949239</CaseID>
            <JudicialPersonID>058748633@GOV.IL</JudicialPersonID>
            <JudicialPersonTypeID>1</JudicialPersonTypeID>
            <JudicialTypeID>1</JudicialTypeID>
            <IsChairman>false</IsChairman>
            <TreatmentStartDate>2024-09-11T10:36:18.363+03:00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277273645</CasePartyID>
        <PartyTypeID>1</PartyTypeID>
        <ActivityStatusID>1</ActivityStatusID>
        <PartyAliasID>4</PartyAliasID>
        <PartyAliasName>משיב</PartyAliasName>
        <OrdinalNumber>1</OrdinalNumber>
        <LegalEntityID>75624229</LegalEntityID>
        <CaseLegalEntityID>132201535</CaseLegalEntityID>
        <AuthenticationTypeID>1</AuthenticationTypeID>
        <AuthenticationTypeName>ת"ז</AuthenticationTypeName>
        <LegalEntityNumber>015930001</LegalEntityNumber>
        <IsMainPartyType>true</IsMainPartyType>
        <CaseDisplayIdentifier>27419-09-24</CaseDisplayIdentifier>
        <CaseTypeID>10038</CaseTypeID>
        <CaseTypeName>ערעור על החלטת רשם (ע"ר)</CaseTypeName>
        <CaseName>מקונן נ' מקונן</CaseName>
        <FullAddress>זלמן שז"ר 20/5 קריית ים </FullAddress>
        <MotionID>0</MotionID>
        <CasePleaID>0</CasePleaID>
        <FatherName>סנדקו</FatherName>
        <LinkedCaseID>0</LinkedCaseID>
        <PartyID>2</PartyID>
        <CasePartyCategoryID>2</CasePartyCategoryID>
        <LegalEntityAddressID>90934279</LegalEntityAddressID>
        <PleaTypeID>6</PleaTypeID>
        <GroupPartyAlias>משיבים</GroupPartyAlias>
        <IsConverted>false</IsConverted>
        <LegalEntityRegisteredNameID>5813434</LegalEntityRegisteredNameID>
        <LegalEntityNameID>98190250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ישלם שני מקונן</PublicationProhibitedFullName>
      </CaseParties>
    </CasePartiesSelectionDS>
    <CaseName>מקונן נ' מקונן</CaseName>
    <CaseDisplayIdentifier>27419-09-24</CaseDisplayIdentifier>
    <CaseInterestID>148</CaseInterestID>
    <CaseTypeShortName>ע"ר</CaseTypeShortName>
  </dt_DecisionCase>
  <dt_DecisionJudgePanel>
    <JudgeID>058748633@GOV.IL</JudgeID>
    <DisplayName>שירי היימן</DisplayName>
    <RoleName>שופט</RoleName>
    <UserTitleName>שופטת, סגנית הנשיאה</UserTitleName>
  </dt_DecisionJudgePanel>
  <dt_LegalEntityDetails>
    <Fax>077-2115152</Fax>
    <Phone>077-2115151</Phone>
    <AddressDesc/>
    <PartyID>2</PartyID>
    <PartyTypeID>2</PartyTypeID>
    <DecisionID>0</DecisionID>
    <StreetName>אח"י אילת 8/8</StreetName>
    <ZipCode>2630655</ZipCode>
    <CityName>קריית חיים </CityName>
    <FullName>שרה- שלומית סטרוגנו</FullName>
    <Email>str_law@easyget.co.il</Email>
    <IsPublicationProhibited>false</IsPublicationProhibited>
  </dt_LegalEntityDetails>
  <dt_LegalEntityDetails>
    <PartyID>1</PartyID>
    <PartyTypeID>1</PartyTypeID>
    <DecisionID>0</DecisionID>
    <StreetName>אסתר המלכה 22/8</StreetName>
    <ZipCode>3542722</ZipCode>
    <CityName>חיפה</CityName>
    <FullName>בלצה קובי מקונן</FullName>
    <IsPublicationProhibited>false</IsPublicationProhibited>
  </dt_LegalEntityDetails>
  <dt_LegalEntityDetails>
    <Fax>04-8538740</Fax>
    <Phone>04-8530853</Phone>
    <PartyID>1</PartyID>
    <PartyTypeID>2</PartyTypeID>
    <DecisionID>0</DecisionID>
    <StreetName>פל ים 5</StreetName>
    <ZipCode>3309508</ZipCode>
    <CityName>חיפה</CityName>
    <FullName>אריאל יום טוביאן</FullName>
    <Email>arielyot@gmail.com</Email>
    <IsPublicationProhibited>false</IsPublicationProhibited>
  </dt_LegalEntityDetails>
  <dt_LegalEntityDetails>
    <PartyID>2</PartyID>
    <PartyTypeID>1</PartyTypeID>
    <DecisionID>0</DecisionID>
    <StreetName>זלמן שז"ר 20/5</StreetName>
    <ZipCode>2908216</ZipCode>
    <CityName>קריית ים</CityName>
    <FullName>ישלם שני מקונן</FullName>
    <IsPublicationProhibited>false</IsPublicationProhibited>
  </dt_LegalEntityDetails>
  <dt_CaseJudicalPersonActive>
    <CaseJudicalPerson>שופטת, סגנית הנשיאה שירי היימן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550A8-81C0-4B67-AEE9-BCDA446E00CE}">
  <ds:schemaRefs/>
</ds:datastoreItem>
</file>

<file path=customXml/itemProps2.xml><?xml version="1.0" encoding="utf-8"?>
<ds:datastoreItem xmlns:ds="http://schemas.openxmlformats.org/officeDocument/2006/customXml" ds:itemID="{446D1576-DAB6-4156-AFB4-675F4A29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1597</Words>
  <Characters>7988</Characters>
  <Application>Microsoft Office Word</Application>
  <DocSecurity>4</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2024-11-10T06:50:00Z</dcterms:created>
  <dcterms:modified xsi:type="dcterms:W3CDTF">2024-11-10T06:50:00Z</dcterms:modified>
</cp:coreProperties>
</file>